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AA98C" w14:textId="10127C08" w:rsidR="00B25F20" w:rsidRPr="001815E4" w:rsidRDefault="00B25F20" w:rsidP="00F05FAB">
      <w:pPr>
        <w:pStyle w:val="Heading1"/>
        <w:rPr>
          <w:sz w:val="32"/>
          <w:szCs w:val="28"/>
        </w:rPr>
      </w:pPr>
      <w:bookmarkStart w:id="0" w:name="_Hlk105675049"/>
      <w:r w:rsidRPr="001815E4">
        <w:rPr>
          <w:sz w:val="32"/>
          <w:szCs w:val="28"/>
        </w:rPr>
        <w:t xml:space="preserve">T Crossling &amp; Co Limited 1972 Pension and Life Assurance Scheme </w:t>
      </w:r>
    </w:p>
    <w:bookmarkEnd w:id="0"/>
    <w:p w14:paraId="6F502737" w14:textId="3E167AA8" w:rsidR="00F05FAB" w:rsidRPr="001815E4" w:rsidRDefault="0094279F" w:rsidP="00F05FAB">
      <w:pPr>
        <w:pStyle w:val="Heading1"/>
        <w:rPr>
          <w:sz w:val="32"/>
          <w:szCs w:val="28"/>
        </w:rPr>
      </w:pPr>
      <w:r w:rsidRPr="001815E4">
        <w:rPr>
          <w:sz w:val="32"/>
          <w:szCs w:val="28"/>
        </w:rPr>
        <w:t>Implementation Statement</w:t>
      </w:r>
      <w:r w:rsidR="003703AE" w:rsidRPr="001815E4">
        <w:rPr>
          <w:sz w:val="32"/>
          <w:szCs w:val="28"/>
        </w:rPr>
        <w:t xml:space="preserve"> for Scheme Year Ending 5 April 202</w:t>
      </w:r>
      <w:r w:rsidR="00291FFB" w:rsidRPr="001815E4">
        <w:rPr>
          <w:sz w:val="32"/>
          <w:szCs w:val="28"/>
        </w:rPr>
        <w:t>2</w:t>
      </w:r>
    </w:p>
    <w:p w14:paraId="21EB3870" w14:textId="77777777" w:rsidR="005B5FAA" w:rsidRDefault="005B5FAA" w:rsidP="005B5FAA">
      <w:pPr>
        <w:pStyle w:val="Heading2"/>
      </w:pPr>
      <w:r>
        <w:t>Purpose of the Implementation Statement</w:t>
      </w:r>
    </w:p>
    <w:p w14:paraId="75C1B7C5" w14:textId="6647DCC0" w:rsidR="00B25F20" w:rsidRPr="008B36E7" w:rsidRDefault="005B5FAA" w:rsidP="005B5FAA">
      <w:pPr>
        <w:pStyle w:val="BodyText"/>
      </w:pPr>
      <w:r>
        <w:t xml:space="preserve">The Implementation Statement has been </w:t>
      </w:r>
      <w:r w:rsidRPr="008B36E7">
        <w:t>prepared by the Trustee</w:t>
      </w:r>
      <w:r w:rsidR="009677A2">
        <w:t>s</w:t>
      </w:r>
      <w:r w:rsidRPr="008B36E7">
        <w:t xml:space="preserve"> of the </w:t>
      </w:r>
      <w:r w:rsidR="00B25F20">
        <w:t>T Crossling &amp; Co Limited 1972 Pension and Life Assurance Scheme (“the Scheme”) to set out the following information over the year to 31 March 2022:</w:t>
      </w:r>
    </w:p>
    <w:p w14:paraId="6E511CBD" w14:textId="51614F32" w:rsidR="00B25F20" w:rsidRDefault="00B25F20" w:rsidP="00B25F20">
      <w:pPr>
        <w:pStyle w:val="List"/>
        <w:jc w:val="both"/>
      </w:pPr>
      <w:r>
        <w:t>The voting activity undertaken by the Scheme’s investment manager on behalf of the Trustees over the year, including information regarding the most significant votes.</w:t>
      </w:r>
    </w:p>
    <w:p w14:paraId="38C877AC" w14:textId="132E1AB2" w:rsidR="00B25F20" w:rsidRDefault="00B25F20" w:rsidP="00B25F20">
      <w:pPr>
        <w:pStyle w:val="List"/>
        <w:jc w:val="both"/>
      </w:pPr>
      <w:r>
        <w:t>How the Trustees</w:t>
      </w:r>
      <w:r w:rsidR="00CE28E1">
        <w:t>’</w:t>
      </w:r>
      <w:r>
        <w:t xml:space="preserve"> policies on exercising rights (including voting rights) and engagement activities have been followed over the year.</w:t>
      </w:r>
    </w:p>
    <w:p w14:paraId="6AC2D5BC" w14:textId="20252417" w:rsidR="00291FFB" w:rsidRPr="00291FFB" w:rsidRDefault="00291FFB" w:rsidP="00291FFB">
      <w:pPr>
        <w:pStyle w:val="BodyText"/>
        <w:rPr>
          <w:highlight w:val="yellow"/>
        </w:rPr>
      </w:pPr>
      <w:r w:rsidRPr="00E60582">
        <w:t xml:space="preserve">The voting behaviour is not given over the Scheme year end to </w:t>
      </w:r>
      <w:r>
        <w:t>5 April 2022</w:t>
      </w:r>
      <w:r w:rsidRPr="00E60582">
        <w:t xml:space="preserve"> because investment managers only report on this data quarterly</w:t>
      </w:r>
      <w:r>
        <w:t>. W</w:t>
      </w:r>
      <w:r w:rsidRPr="00E60582">
        <w:t xml:space="preserve">e have therefore given the information over the year to </w:t>
      </w:r>
      <w:r>
        <w:t>31 March 2022</w:t>
      </w:r>
      <w:r w:rsidRPr="00E60582">
        <w:t>.</w:t>
      </w:r>
    </w:p>
    <w:p w14:paraId="00D3777B" w14:textId="77777777" w:rsidR="00B25F20" w:rsidRDefault="00B25F20" w:rsidP="00962C0E">
      <w:pPr>
        <w:pStyle w:val="Heading2"/>
        <w:spacing w:before="360"/>
        <w:jc w:val="both"/>
      </w:pPr>
      <w:r>
        <w:t>The Trustee’s policies on voting and engagement</w:t>
      </w:r>
    </w:p>
    <w:p w14:paraId="7CB2FD7A" w14:textId="18EAAD76" w:rsidR="00B25F20" w:rsidRDefault="00B25F20" w:rsidP="00B25F20">
      <w:pPr>
        <w:pStyle w:val="BodyText"/>
      </w:pPr>
      <w:r>
        <w:t xml:space="preserve">The following extracts from the Scheme’s Statement of Investment Principles (“SIP”) in force at 31 March 2022 describes the Trustees’ policy on the exercise of rights (including voting rights) and engagement activities. The Trustees’ full policies on </w:t>
      </w:r>
      <w:r w:rsidRPr="00684505">
        <w:t xml:space="preserve">Environmental, Social and Governance (“ESG”) </w:t>
      </w:r>
      <w:r>
        <w:t>c</w:t>
      </w:r>
      <w:r w:rsidRPr="00684505">
        <w:t xml:space="preserve">onsiderations, </w:t>
      </w:r>
      <w:r>
        <w:t>s</w:t>
      </w:r>
      <w:r w:rsidRPr="00684505">
        <w:t xml:space="preserve">tewardship and </w:t>
      </w:r>
      <w:r>
        <w:t>i</w:t>
      </w:r>
      <w:r w:rsidRPr="00684505">
        <w:t xml:space="preserve">nvestment </w:t>
      </w:r>
      <w:r>
        <w:t>m</w:t>
      </w:r>
      <w:r w:rsidRPr="00684505">
        <w:t xml:space="preserve">anager </w:t>
      </w:r>
      <w:r>
        <w:t>a</w:t>
      </w:r>
      <w:r w:rsidRPr="00684505">
        <w:t>rrangements</w:t>
      </w:r>
      <w:r>
        <w:t xml:space="preserve"> are set out in the SIP.</w:t>
      </w:r>
    </w:p>
    <w:p w14:paraId="40F184B6" w14:textId="06E23983" w:rsidR="00B25F20" w:rsidRPr="00B25F20" w:rsidRDefault="00B25F20" w:rsidP="00B25F20">
      <w:pPr>
        <w:pStyle w:val="AppendixBodyText"/>
        <w:rPr>
          <w:i/>
          <w:iCs/>
        </w:rPr>
      </w:pPr>
      <w:r w:rsidRPr="00B25F20">
        <w:rPr>
          <w:i/>
          <w:iCs/>
        </w:rPr>
        <w:t>“The Trustees’ policy on the exercise of rights attaching to investments, including voting rights, and in undertaking engagement activities in respect of the investments is that these rights should be exercised by the investment managers on the Trustees’ behalf. In doing so, the Trustees expect that the investment managers will use their influence as major institutional investors to exercise the Trustees' rights and duties as shareholders, including where appropriate engaging with underlying investee companies to promote good corporate governance, accountability and to understand how those companies take account of ESG issues in their businesses.”</w:t>
      </w:r>
    </w:p>
    <w:p w14:paraId="64807245" w14:textId="77777777" w:rsidR="00BE71AF" w:rsidRDefault="00BE71AF" w:rsidP="00BE71AF">
      <w:pPr>
        <w:pStyle w:val="BodyText"/>
      </w:pPr>
      <w:r>
        <w:t xml:space="preserve">The Scheme’s SIP was last reviewed in September 2020 and has been made available online here: </w:t>
      </w:r>
    </w:p>
    <w:p w14:paraId="3EDB3F39" w14:textId="1E7CF786" w:rsidR="00A76ADE" w:rsidRPr="00C1221D" w:rsidRDefault="008D0AF4" w:rsidP="00C1221D">
      <w:pPr>
        <w:pStyle w:val="BodyText"/>
      </w:pPr>
      <w:r w:rsidRPr="008D0AF4">
        <w:t>https://www.crossling.co.uk/documents/2020 09 Crossling SIP.docx</w:t>
      </w:r>
    </w:p>
    <w:p w14:paraId="4B332BBE" w14:textId="77777777" w:rsidR="003F31AD" w:rsidRDefault="003F31AD">
      <w:pPr>
        <w:spacing w:after="200" w:line="276" w:lineRule="auto"/>
        <w:rPr>
          <w:rFonts w:ascii="Segoe UI Semibold" w:eastAsiaTheme="majorEastAsia" w:hAnsi="Segoe UI Semibold"/>
          <w:bCs/>
          <w:iCs/>
          <w:color w:val="009FE3"/>
          <w:sz w:val="28"/>
          <w:szCs w:val="28"/>
          <w:lang w:val="en-GB" w:bidi="ar-SA"/>
        </w:rPr>
      </w:pPr>
      <w:r>
        <w:br w:type="page"/>
      </w:r>
    </w:p>
    <w:p w14:paraId="70FD4B95" w14:textId="2244F9E3" w:rsidR="00F05FAB" w:rsidRDefault="00055901" w:rsidP="00055901">
      <w:pPr>
        <w:pStyle w:val="Heading2"/>
      </w:pPr>
      <w:r>
        <w:lastRenderedPageBreak/>
        <w:t>Investment manager and funds in use</w:t>
      </w:r>
      <w:r w:rsidR="00B31C32">
        <w:t xml:space="preserve"> </w:t>
      </w:r>
    </w:p>
    <w:p w14:paraId="0E33E069" w14:textId="4D55A6DD" w:rsidR="00055901" w:rsidRDefault="00271BA0" w:rsidP="00055901">
      <w:pPr>
        <w:pStyle w:val="BodyText"/>
      </w:pPr>
      <w:r>
        <w:t xml:space="preserve">At the Scheme year-end, the Scheme’s investments were managed by a single investment manager, Baillie Gifford &amp; Co Limited (“Baillie Gifford”). </w:t>
      </w:r>
      <w:r w:rsidR="00055901">
        <w:t xml:space="preserve">The following table details the investment managers and funds in use at the </w:t>
      </w:r>
      <w:r w:rsidR="00E1481C">
        <w:t>Scheme</w:t>
      </w:r>
      <w:r w:rsidR="00055901">
        <w:t xml:space="preserve"> year end:</w:t>
      </w:r>
    </w:p>
    <w:tbl>
      <w:tblPr>
        <w:tblStyle w:val="bwTable"/>
        <w:tblW w:w="0" w:type="auto"/>
        <w:tblLook w:val="04A0" w:firstRow="1" w:lastRow="0" w:firstColumn="1" w:lastColumn="0" w:noHBand="0" w:noVBand="1"/>
      </w:tblPr>
      <w:tblGrid>
        <w:gridCol w:w="3285"/>
        <w:gridCol w:w="3285"/>
        <w:gridCol w:w="3286"/>
      </w:tblGrid>
      <w:tr w:rsidR="00055901" w14:paraId="7A3C42F1" w14:textId="77777777" w:rsidTr="00055901">
        <w:trPr>
          <w:cnfStyle w:val="100000000000" w:firstRow="1" w:lastRow="0" w:firstColumn="0" w:lastColumn="0" w:oddVBand="0" w:evenVBand="0" w:oddHBand="0" w:evenHBand="0" w:firstRowFirstColumn="0" w:firstRowLastColumn="0" w:lastRowFirstColumn="0" w:lastRowLastColumn="0"/>
        </w:trPr>
        <w:tc>
          <w:tcPr>
            <w:tcW w:w="3285" w:type="dxa"/>
          </w:tcPr>
          <w:p w14:paraId="0811A69E" w14:textId="0D5D8D92" w:rsidR="00055901" w:rsidRPr="00947B28" w:rsidRDefault="00947B28" w:rsidP="002865F6">
            <w:pPr>
              <w:pStyle w:val="BodyText"/>
              <w:jc w:val="center"/>
              <w:rPr>
                <w:b/>
                <w:bCs/>
              </w:rPr>
            </w:pPr>
            <w:r w:rsidRPr="00947B28">
              <w:rPr>
                <w:b/>
                <w:bCs/>
              </w:rPr>
              <w:t>Manager</w:t>
            </w:r>
          </w:p>
        </w:tc>
        <w:tc>
          <w:tcPr>
            <w:tcW w:w="3285" w:type="dxa"/>
          </w:tcPr>
          <w:p w14:paraId="28319FAA" w14:textId="42CB18B5" w:rsidR="00055901" w:rsidRPr="00947B28" w:rsidRDefault="00947B28" w:rsidP="002865F6">
            <w:pPr>
              <w:pStyle w:val="BodyText"/>
              <w:jc w:val="center"/>
              <w:rPr>
                <w:b/>
                <w:bCs/>
              </w:rPr>
            </w:pPr>
            <w:r w:rsidRPr="00947B28">
              <w:rPr>
                <w:b/>
                <w:bCs/>
              </w:rPr>
              <w:t>Fund</w:t>
            </w:r>
          </w:p>
        </w:tc>
        <w:tc>
          <w:tcPr>
            <w:tcW w:w="3286" w:type="dxa"/>
          </w:tcPr>
          <w:p w14:paraId="12C7134E" w14:textId="7A88162E" w:rsidR="00055901" w:rsidRPr="00947B28" w:rsidRDefault="00947B28" w:rsidP="002865F6">
            <w:pPr>
              <w:pStyle w:val="BodyText"/>
              <w:jc w:val="center"/>
              <w:rPr>
                <w:b/>
                <w:bCs/>
              </w:rPr>
            </w:pPr>
            <w:r w:rsidRPr="00947B28">
              <w:rPr>
                <w:b/>
                <w:bCs/>
              </w:rPr>
              <w:t>Asset Class</w:t>
            </w:r>
          </w:p>
        </w:tc>
      </w:tr>
      <w:tr w:rsidR="00A76ADE" w14:paraId="25F8069B" w14:textId="77777777" w:rsidTr="00A76ADE">
        <w:trPr>
          <w:cnfStyle w:val="000000100000" w:firstRow="0" w:lastRow="0" w:firstColumn="0" w:lastColumn="0" w:oddVBand="0" w:evenVBand="0" w:oddHBand="1" w:evenHBand="0" w:firstRowFirstColumn="0" w:firstRowLastColumn="0" w:lastRowFirstColumn="0" w:lastRowLastColumn="0"/>
        </w:trPr>
        <w:tc>
          <w:tcPr>
            <w:tcW w:w="3285" w:type="dxa"/>
            <w:vMerge w:val="restart"/>
          </w:tcPr>
          <w:p w14:paraId="74E10CD0" w14:textId="6B70CC61" w:rsidR="00A76ADE" w:rsidRPr="00E6207D" w:rsidRDefault="00A76ADE" w:rsidP="002865F6">
            <w:pPr>
              <w:pStyle w:val="BodyText"/>
              <w:spacing w:after="0"/>
              <w:jc w:val="center"/>
              <w:rPr>
                <w:sz w:val="18"/>
                <w:szCs w:val="18"/>
              </w:rPr>
            </w:pPr>
            <w:r w:rsidRPr="00E6207D">
              <w:rPr>
                <w:sz w:val="18"/>
                <w:szCs w:val="18"/>
              </w:rPr>
              <w:t>Baillie Gifford &amp; Co Limited</w:t>
            </w:r>
          </w:p>
        </w:tc>
        <w:tc>
          <w:tcPr>
            <w:tcW w:w="3285" w:type="dxa"/>
            <w:vAlign w:val="top"/>
          </w:tcPr>
          <w:p w14:paraId="78B56BBD" w14:textId="23A01C0C" w:rsidR="00A76ADE" w:rsidRPr="00E6207D" w:rsidRDefault="00A76ADE" w:rsidP="002865F6">
            <w:pPr>
              <w:pStyle w:val="BodyText"/>
              <w:spacing w:after="0"/>
              <w:jc w:val="center"/>
              <w:rPr>
                <w:sz w:val="18"/>
                <w:szCs w:val="18"/>
              </w:rPr>
            </w:pPr>
            <w:r w:rsidRPr="00E6207D">
              <w:rPr>
                <w:sz w:val="18"/>
                <w:szCs w:val="18"/>
              </w:rPr>
              <w:t>Diversified Growth Fund</w:t>
            </w:r>
          </w:p>
        </w:tc>
        <w:tc>
          <w:tcPr>
            <w:tcW w:w="3286" w:type="dxa"/>
            <w:vAlign w:val="top"/>
          </w:tcPr>
          <w:p w14:paraId="60F6A8AD" w14:textId="77777777" w:rsidR="00A76ADE" w:rsidRPr="00E6207D" w:rsidRDefault="00A76ADE" w:rsidP="002865F6">
            <w:pPr>
              <w:pStyle w:val="BodyText"/>
              <w:spacing w:after="0"/>
              <w:jc w:val="center"/>
              <w:rPr>
                <w:sz w:val="18"/>
                <w:szCs w:val="18"/>
              </w:rPr>
            </w:pPr>
            <w:r w:rsidRPr="00E6207D">
              <w:rPr>
                <w:sz w:val="18"/>
                <w:szCs w:val="18"/>
              </w:rPr>
              <w:t>Diversified Growth</w:t>
            </w:r>
          </w:p>
          <w:p w14:paraId="62F32C51" w14:textId="06AB64DC" w:rsidR="00A76ADE" w:rsidRPr="00E6207D" w:rsidRDefault="00A76ADE" w:rsidP="002865F6">
            <w:pPr>
              <w:pStyle w:val="BodyText"/>
              <w:spacing w:after="0"/>
              <w:jc w:val="center"/>
              <w:rPr>
                <w:sz w:val="18"/>
                <w:szCs w:val="18"/>
              </w:rPr>
            </w:pPr>
          </w:p>
        </w:tc>
      </w:tr>
      <w:tr w:rsidR="00A76ADE" w14:paraId="18EC71CD" w14:textId="77777777" w:rsidTr="00E6207D">
        <w:trPr>
          <w:cnfStyle w:val="000000010000" w:firstRow="0" w:lastRow="0" w:firstColumn="0" w:lastColumn="0" w:oddVBand="0" w:evenVBand="0" w:oddHBand="0" w:evenHBand="1" w:firstRowFirstColumn="0" w:firstRowLastColumn="0" w:lastRowFirstColumn="0" w:lastRowLastColumn="0"/>
        </w:trPr>
        <w:tc>
          <w:tcPr>
            <w:tcW w:w="3285" w:type="dxa"/>
            <w:vMerge/>
            <w:vAlign w:val="top"/>
          </w:tcPr>
          <w:p w14:paraId="715428D1" w14:textId="77777777" w:rsidR="00A76ADE" w:rsidRPr="00E6207D" w:rsidRDefault="00A76ADE" w:rsidP="002865F6">
            <w:pPr>
              <w:pStyle w:val="BodyText"/>
              <w:spacing w:after="0"/>
              <w:jc w:val="center"/>
              <w:rPr>
                <w:sz w:val="18"/>
                <w:szCs w:val="18"/>
              </w:rPr>
            </w:pPr>
          </w:p>
        </w:tc>
        <w:tc>
          <w:tcPr>
            <w:tcW w:w="3285" w:type="dxa"/>
            <w:vAlign w:val="top"/>
          </w:tcPr>
          <w:p w14:paraId="5DF1B0A1" w14:textId="77777777" w:rsidR="00A76ADE" w:rsidRPr="00E6207D" w:rsidRDefault="00A76ADE" w:rsidP="002865F6">
            <w:pPr>
              <w:pStyle w:val="BodyText"/>
              <w:spacing w:after="0"/>
              <w:jc w:val="center"/>
              <w:rPr>
                <w:sz w:val="18"/>
                <w:szCs w:val="18"/>
              </w:rPr>
            </w:pPr>
            <w:r w:rsidRPr="00E6207D">
              <w:rPr>
                <w:sz w:val="18"/>
                <w:szCs w:val="18"/>
              </w:rPr>
              <w:t>Managed Fund</w:t>
            </w:r>
          </w:p>
          <w:p w14:paraId="44AEC419" w14:textId="77777777" w:rsidR="00A76ADE" w:rsidRPr="00E6207D" w:rsidRDefault="00A76ADE" w:rsidP="002865F6">
            <w:pPr>
              <w:pStyle w:val="BodyText"/>
              <w:spacing w:after="0"/>
              <w:jc w:val="center"/>
              <w:rPr>
                <w:sz w:val="18"/>
                <w:szCs w:val="18"/>
              </w:rPr>
            </w:pPr>
          </w:p>
        </w:tc>
        <w:tc>
          <w:tcPr>
            <w:tcW w:w="3286" w:type="dxa"/>
            <w:vAlign w:val="top"/>
          </w:tcPr>
          <w:p w14:paraId="5BB99B5D" w14:textId="77777777" w:rsidR="00A76ADE" w:rsidRPr="00E6207D" w:rsidRDefault="00A76ADE" w:rsidP="002865F6">
            <w:pPr>
              <w:pStyle w:val="BodyText"/>
              <w:spacing w:after="0"/>
              <w:jc w:val="center"/>
              <w:rPr>
                <w:sz w:val="18"/>
                <w:szCs w:val="18"/>
              </w:rPr>
            </w:pPr>
            <w:r w:rsidRPr="00E6207D">
              <w:rPr>
                <w:sz w:val="18"/>
                <w:szCs w:val="18"/>
              </w:rPr>
              <w:t>Multi-asset</w:t>
            </w:r>
          </w:p>
          <w:p w14:paraId="7FA5DBC1" w14:textId="77777777" w:rsidR="00A76ADE" w:rsidRPr="00E6207D" w:rsidRDefault="00A76ADE" w:rsidP="002865F6">
            <w:pPr>
              <w:pStyle w:val="BodyText"/>
              <w:spacing w:after="0"/>
              <w:jc w:val="center"/>
              <w:rPr>
                <w:sz w:val="18"/>
                <w:szCs w:val="18"/>
              </w:rPr>
            </w:pPr>
          </w:p>
        </w:tc>
      </w:tr>
      <w:tr w:rsidR="00A76ADE" w14:paraId="442060B0" w14:textId="77777777" w:rsidTr="00E6207D">
        <w:trPr>
          <w:cnfStyle w:val="000000100000" w:firstRow="0" w:lastRow="0" w:firstColumn="0" w:lastColumn="0" w:oddVBand="0" w:evenVBand="0" w:oddHBand="1" w:evenHBand="0" w:firstRowFirstColumn="0" w:firstRowLastColumn="0" w:lastRowFirstColumn="0" w:lastRowLastColumn="0"/>
        </w:trPr>
        <w:tc>
          <w:tcPr>
            <w:tcW w:w="3285" w:type="dxa"/>
            <w:vMerge/>
            <w:vAlign w:val="top"/>
          </w:tcPr>
          <w:p w14:paraId="7FD7BAF6" w14:textId="77777777" w:rsidR="00A76ADE" w:rsidRPr="00E6207D" w:rsidRDefault="00A76ADE" w:rsidP="002865F6">
            <w:pPr>
              <w:pStyle w:val="BodyText"/>
              <w:spacing w:after="0"/>
              <w:jc w:val="center"/>
              <w:rPr>
                <w:sz w:val="18"/>
                <w:szCs w:val="18"/>
              </w:rPr>
            </w:pPr>
          </w:p>
        </w:tc>
        <w:tc>
          <w:tcPr>
            <w:tcW w:w="3285" w:type="dxa"/>
            <w:vAlign w:val="top"/>
          </w:tcPr>
          <w:p w14:paraId="122C69E1" w14:textId="7A25DE58" w:rsidR="00A76ADE" w:rsidRPr="00E6207D" w:rsidRDefault="00A76ADE" w:rsidP="002865F6">
            <w:pPr>
              <w:pStyle w:val="BodyText"/>
              <w:spacing w:after="0"/>
              <w:jc w:val="center"/>
              <w:rPr>
                <w:sz w:val="18"/>
                <w:szCs w:val="18"/>
              </w:rPr>
            </w:pPr>
            <w:r w:rsidRPr="00E6207D">
              <w:rPr>
                <w:sz w:val="18"/>
                <w:szCs w:val="18"/>
              </w:rPr>
              <w:t>Investment-Grade Long Bond Fund</w:t>
            </w:r>
          </w:p>
        </w:tc>
        <w:tc>
          <w:tcPr>
            <w:tcW w:w="3286" w:type="dxa"/>
            <w:vAlign w:val="top"/>
          </w:tcPr>
          <w:p w14:paraId="4CE68F9D" w14:textId="22159ED0" w:rsidR="00A76ADE" w:rsidRPr="00E6207D" w:rsidRDefault="00A76ADE" w:rsidP="002865F6">
            <w:pPr>
              <w:pStyle w:val="BodyText"/>
              <w:spacing w:after="0"/>
              <w:jc w:val="center"/>
              <w:rPr>
                <w:sz w:val="18"/>
                <w:szCs w:val="18"/>
              </w:rPr>
            </w:pPr>
            <w:r w:rsidRPr="00E6207D">
              <w:rPr>
                <w:sz w:val="18"/>
                <w:szCs w:val="18"/>
              </w:rPr>
              <w:t>Investment-grade bonds</w:t>
            </w:r>
          </w:p>
        </w:tc>
      </w:tr>
    </w:tbl>
    <w:p w14:paraId="44D6862B" w14:textId="77777777" w:rsidR="00055901" w:rsidRPr="00055901" w:rsidRDefault="00055901" w:rsidP="00055901">
      <w:pPr>
        <w:pStyle w:val="BodyText"/>
      </w:pPr>
    </w:p>
    <w:p w14:paraId="404994D5" w14:textId="6FB4B6EE" w:rsidR="00F05FAB" w:rsidRDefault="006520A2" w:rsidP="00F05FAB">
      <w:pPr>
        <w:pStyle w:val="Heading2"/>
      </w:pPr>
      <w:r>
        <w:t>How voting and engagement policies have been followed</w:t>
      </w:r>
    </w:p>
    <w:p w14:paraId="7FA955DA" w14:textId="4FB9164C" w:rsidR="00C1221D" w:rsidRDefault="00C1221D" w:rsidP="00C1221D">
      <w:pPr>
        <w:pStyle w:val="BodyText"/>
      </w:pPr>
      <w:r>
        <w:t>Based on the information provided by Baillie Gifford, the Trustee</w:t>
      </w:r>
      <w:r w:rsidR="00792AA7">
        <w:t>s</w:t>
      </w:r>
      <w:r>
        <w:t xml:space="preserve"> believe that </w:t>
      </w:r>
      <w:r w:rsidR="00792AA7">
        <w:t>their</w:t>
      </w:r>
      <w:r>
        <w:t xml:space="preserve"> policies on voting and engagement have been met in the following ways:</w:t>
      </w:r>
    </w:p>
    <w:p w14:paraId="1E4F75FF" w14:textId="175FA2D7" w:rsidR="00C1221D" w:rsidRDefault="00C1221D" w:rsidP="00C1221D">
      <w:pPr>
        <w:pStyle w:val="List"/>
        <w:jc w:val="both"/>
      </w:pPr>
      <w:r>
        <w:t>The Scheme invests entirely in pooled funds and, as such, delegates responsibility for carrying out voting and engagement activities to the Scheme’s investment manager. Investment rights (including voting rights) have been exercised by the manager in line with their general policies on corporate governance. The Trustee</w:t>
      </w:r>
      <w:r w:rsidR="00792AA7">
        <w:t>s</w:t>
      </w:r>
      <w:r>
        <w:t xml:space="preserve"> also expect the manager to have engaged with the companies in which they invest in relation to ESG matters.</w:t>
      </w:r>
    </w:p>
    <w:p w14:paraId="395AFCF7" w14:textId="77777777" w:rsidR="00C1221D" w:rsidRDefault="00C1221D" w:rsidP="00C1221D">
      <w:pPr>
        <w:pStyle w:val="List"/>
        <w:numPr>
          <w:ilvl w:val="0"/>
          <w:numId w:val="0"/>
        </w:numPr>
        <w:jc w:val="both"/>
      </w:pPr>
    </w:p>
    <w:p w14:paraId="72A76CA4" w14:textId="2F626D9A" w:rsidR="00C1221D" w:rsidRDefault="00C1221D" w:rsidP="00C1221D">
      <w:pPr>
        <w:pStyle w:val="List"/>
        <w:jc w:val="both"/>
      </w:pPr>
      <w:r>
        <w:t>The Trustee</w:t>
      </w:r>
      <w:r w:rsidR="00792AA7">
        <w:t>s</w:t>
      </w:r>
      <w:r>
        <w:t xml:space="preserve"> receive and review</w:t>
      </w:r>
      <w:r w:rsidR="00792AA7">
        <w:t xml:space="preserve"> </w:t>
      </w:r>
      <w:r>
        <w:t>voting and engagement data from the Scheme’s investment manager on an annual basis, which they review and report in their annual Implementation Statement.</w:t>
      </w:r>
    </w:p>
    <w:p w14:paraId="1BFFB269" w14:textId="77777777" w:rsidR="00C1221D" w:rsidRDefault="00C1221D" w:rsidP="00C1221D">
      <w:pPr>
        <w:pStyle w:val="List"/>
        <w:numPr>
          <w:ilvl w:val="0"/>
          <w:numId w:val="0"/>
        </w:numPr>
        <w:jc w:val="both"/>
      </w:pPr>
    </w:p>
    <w:p w14:paraId="3B6C3019" w14:textId="12F926A6" w:rsidR="00C1221D" w:rsidRPr="00E33FE8" w:rsidRDefault="00C1221D" w:rsidP="00C1221D">
      <w:pPr>
        <w:pStyle w:val="List"/>
        <w:numPr>
          <w:ilvl w:val="0"/>
          <w:numId w:val="0"/>
        </w:numPr>
        <w:jc w:val="both"/>
      </w:pPr>
      <w:r w:rsidRPr="00594FC0">
        <w:t>The Trustee</w:t>
      </w:r>
      <w:r w:rsidR="00BC3D84">
        <w:t>s</w:t>
      </w:r>
      <w:r w:rsidRPr="00594FC0">
        <w:t xml:space="preserve"> ha</w:t>
      </w:r>
      <w:r w:rsidR="00BC3D84">
        <w:t>ve</w:t>
      </w:r>
      <w:r w:rsidRPr="00594FC0">
        <w:t xml:space="preserve"> reviewed the summary data below in respect of the manager’s voting and engagement </w:t>
      </w:r>
      <w:r>
        <w:t xml:space="preserve">activities </w:t>
      </w:r>
      <w:r w:rsidRPr="00594FC0">
        <w:t xml:space="preserve">and </w:t>
      </w:r>
      <w:r w:rsidR="005040E9">
        <w:t>are</w:t>
      </w:r>
      <w:r w:rsidR="005040E9" w:rsidRPr="00594FC0">
        <w:t xml:space="preserve"> </w:t>
      </w:r>
      <w:r w:rsidRPr="00594FC0">
        <w:t xml:space="preserve">comfortable </w:t>
      </w:r>
      <w:r>
        <w:t xml:space="preserve">that </w:t>
      </w:r>
      <w:r w:rsidRPr="00594FC0">
        <w:t>the actions of the investment manager are in alignment with the Scheme’s stewardship policies.  The Trustee</w:t>
      </w:r>
      <w:r w:rsidR="00BC3D84">
        <w:t>s</w:t>
      </w:r>
      <w:r w:rsidRPr="00594FC0">
        <w:t xml:space="preserve"> </w:t>
      </w:r>
      <w:r w:rsidR="00BC3D84">
        <w:t>have</w:t>
      </w:r>
      <w:r w:rsidRPr="00594FC0">
        <w:t xml:space="preserve"> not undertaken a formal review of the voting and engagement activities </w:t>
      </w:r>
      <w:r>
        <w:t xml:space="preserve">(outside of the information contained within the Implementation Statement) </w:t>
      </w:r>
      <w:r w:rsidRPr="00594FC0">
        <w:t>over the year.</w:t>
      </w:r>
    </w:p>
    <w:p w14:paraId="407E13A3" w14:textId="653B9104" w:rsidR="00C1221D" w:rsidRPr="00DC282A" w:rsidRDefault="00C1221D" w:rsidP="00C1221D">
      <w:pPr>
        <w:pStyle w:val="BodyText"/>
        <w:rPr>
          <w:b/>
          <w:bCs/>
        </w:rPr>
      </w:pPr>
      <w:r>
        <w:rPr>
          <w:b/>
          <w:bCs/>
        </w:rPr>
        <w:t>Prepared by the Trustee</w:t>
      </w:r>
      <w:r w:rsidR="00BC3D84">
        <w:rPr>
          <w:b/>
          <w:bCs/>
        </w:rPr>
        <w:t xml:space="preserve">s of the </w:t>
      </w:r>
      <w:r w:rsidR="00BC3D84" w:rsidRPr="00BC3D84">
        <w:rPr>
          <w:b/>
          <w:bCs/>
        </w:rPr>
        <w:t xml:space="preserve">T Crossling &amp; Co Limited 1972 Pension and Life Assurance Scheme </w:t>
      </w:r>
    </w:p>
    <w:p w14:paraId="3FC424EA" w14:textId="7F2752D7" w:rsidR="00C1221D" w:rsidRPr="00DC282A" w:rsidRDefault="00C1221D" w:rsidP="00C1221D">
      <w:pPr>
        <w:pStyle w:val="BodyText"/>
        <w:rPr>
          <w:b/>
          <w:bCs/>
        </w:rPr>
      </w:pPr>
      <w:r>
        <w:rPr>
          <w:b/>
          <w:bCs/>
        </w:rPr>
        <w:t>June 2022</w:t>
      </w:r>
    </w:p>
    <w:p w14:paraId="62C8F089" w14:textId="77777777" w:rsidR="00C1221D" w:rsidRDefault="00C1221D" w:rsidP="00C1221D">
      <w:pPr>
        <w:pStyle w:val="BodyText"/>
      </w:pPr>
    </w:p>
    <w:p w14:paraId="5E73D0FC" w14:textId="77777777" w:rsidR="009D0539" w:rsidRDefault="009D0539">
      <w:pPr>
        <w:spacing w:after="200" w:line="276" w:lineRule="auto"/>
        <w:rPr>
          <w:rFonts w:ascii="Segoe UI Semibold" w:eastAsiaTheme="majorEastAsia" w:hAnsi="Segoe UI Semibold"/>
          <w:bCs/>
          <w:iCs/>
          <w:color w:val="009FE3"/>
          <w:sz w:val="28"/>
          <w:szCs w:val="28"/>
          <w:lang w:val="en-GB" w:bidi="ar-SA"/>
        </w:rPr>
      </w:pPr>
      <w:r>
        <w:br w:type="page"/>
      </w:r>
    </w:p>
    <w:p w14:paraId="1C254A8A" w14:textId="13057518" w:rsidR="009D0539" w:rsidRDefault="009D0539" w:rsidP="009D0539">
      <w:pPr>
        <w:pStyle w:val="Heading2"/>
      </w:pPr>
      <w:r>
        <w:lastRenderedPageBreak/>
        <w:t xml:space="preserve">Voting Data </w:t>
      </w:r>
    </w:p>
    <w:p w14:paraId="5369E82B" w14:textId="4BD5A4EA" w:rsidR="00A76ADE" w:rsidRDefault="00A76ADE" w:rsidP="00A76ADE">
      <w:pPr>
        <w:pStyle w:val="BodyText"/>
      </w:pPr>
      <w:r>
        <w:t xml:space="preserve">This section provides a summary of the voting activity undertaken by the investment manager within the Scheme’s portfolio on behalf of the Trustees over the year to </w:t>
      </w:r>
      <w:r w:rsidRPr="00A76ADE">
        <w:rPr>
          <w:b/>
          <w:bCs/>
        </w:rPr>
        <w:t>31 March 2022</w:t>
      </w:r>
      <w:r>
        <w:t>.</w:t>
      </w:r>
    </w:p>
    <w:p w14:paraId="5E248D3B" w14:textId="48049518" w:rsidR="00A76ADE" w:rsidRPr="00A76ADE" w:rsidRDefault="00A76ADE" w:rsidP="00A76ADE">
      <w:pPr>
        <w:pStyle w:val="BodyText"/>
      </w:pPr>
      <w:r>
        <w:t xml:space="preserve">There are not expected to be any voting rights attached to the </w:t>
      </w:r>
      <w:r w:rsidR="006C1E9B">
        <w:t>Investment-Grade Long Fund given the nature of the mandate. Therefore, this fund is not included in the table below.</w:t>
      </w:r>
    </w:p>
    <w:tbl>
      <w:tblPr>
        <w:tblStyle w:val="bwTable"/>
        <w:tblW w:w="0" w:type="auto"/>
        <w:tblInd w:w="-5" w:type="dxa"/>
        <w:tblLook w:val="04A0" w:firstRow="1" w:lastRow="0" w:firstColumn="1" w:lastColumn="0" w:noHBand="0" w:noVBand="1"/>
      </w:tblPr>
      <w:tblGrid>
        <w:gridCol w:w="1971"/>
        <w:gridCol w:w="3907"/>
        <w:gridCol w:w="3908"/>
      </w:tblGrid>
      <w:tr w:rsidR="00B91A98" w:rsidRPr="007F4127" w14:paraId="71EE1F46" w14:textId="77777777" w:rsidTr="00B91A98">
        <w:trPr>
          <w:cnfStyle w:val="100000000000" w:firstRow="1" w:lastRow="0" w:firstColumn="0" w:lastColumn="0" w:oddVBand="0" w:evenVBand="0" w:oddHBand="0" w:evenHBand="0" w:firstRowFirstColumn="0" w:firstRowLastColumn="0" w:lastRowFirstColumn="0" w:lastRowLastColumn="0"/>
          <w:tblHeader/>
        </w:trPr>
        <w:tc>
          <w:tcPr>
            <w:tcW w:w="1971" w:type="dxa"/>
          </w:tcPr>
          <w:p w14:paraId="5DA94555" w14:textId="77777777" w:rsidR="00B91A98" w:rsidRPr="007F4127" w:rsidRDefault="00B91A98" w:rsidP="009D0539">
            <w:pPr>
              <w:pStyle w:val="BodyText"/>
              <w:spacing w:after="0"/>
              <w:jc w:val="left"/>
              <w:rPr>
                <w:b/>
                <w:sz w:val="16"/>
              </w:rPr>
            </w:pPr>
            <w:r w:rsidRPr="007F4127">
              <w:rPr>
                <w:b/>
                <w:sz w:val="16"/>
              </w:rPr>
              <w:t>Manager</w:t>
            </w:r>
          </w:p>
        </w:tc>
        <w:tc>
          <w:tcPr>
            <w:tcW w:w="7815" w:type="dxa"/>
            <w:gridSpan w:val="2"/>
          </w:tcPr>
          <w:p w14:paraId="51ADE397" w14:textId="6D112250" w:rsidR="00B91A98" w:rsidRPr="007F4127" w:rsidRDefault="00B91A98" w:rsidP="00B91A98">
            <w:pPr>
              <w:pStyle w:val="BodyText"/>
              <w:spacing w:after="0"/>
              <w:jc w:val="center"/>
              <w:rPr>
                <w:b/>
                <w:sz w:val="16"/>
              </w:rPr>
            </w:pPr>
            <w:r>
              <w:rPr>
                <w:b/>
                <w:sz w:val="16"/>
              </w:rPr>
              <w:t>Baillie Gifford</w:t>
            </w:r>
          </w:p>
        </w:tc>
      </w:tr>
      <w:tr w:rsidR="00B91A98" w:rsidRPr="007F4127" w14:paraId="071C7B33" w14:textId="77777777" w:rsidTr="00B91A98">
        <w:trPr>
          <w:cnfStyle w:val="000000100000" w:firstRow="0" w:lastRow="0" w:firstColumn="0" w:lastColumn="0" w:oddVBand="0" w:evenVBand="0" w:oddHBand="1" w:evenHBand="0" w:firstRowFirstColumn="0" w:firstRowLastColumn="0" w:lastRowFirstColumn="0" w:lastRowLastColumn="0"/>
        </w:trPr>
        <w:tc>
          <w:tcPr>
            <w:tcW w:w="1971" w:type="dxa"/>
          </w:tcPr>
          <w:p w14:paraId="5732A608" w14:textId="77777777" w:rsidR="00B91A98" w:rsidRPr="007F4127" w:rsidRDefault="00B91A98" w:rsidP="009D0539">
            <w:pPr>
              <w:pStyle w:val="BodyText"/>
              <w:spacing w:after="0"/>
              <w:jc w:val="left"/>
              <w:rPr>
                <w:b/>
                <w:sz w:val="16"/>
              </w:rPr>
            </w:pPr>
            <w:r w:rsidRPr="007F4127">
              <w:rPr>
                <w:b/>
                <w:sz w:val="16"/>
              </w:rPr>
              <w:t>Fund name</w:t>
            </w:r>
          </w:p>
        </w:tc>
        <w:tc>
          <w:tcPr>
            <w:tcW w:w="3907" w:type="dxa"/>
          </w:tcPr>
          <w:p w14:paraId="4D18666F" w14:textId="5A6C1038" w:rsidR="00B91A98" w:rsidRPr="001815E4" w:rsidRDefault="00B91A98" w:rsidP="005414B9">
            <w:pPr>
              <w:pStyle w:val="BodyText"/>
              <w:spacing w:after="0"/>
              <w:jc w:val="center"/>
              <w:rPr>
                <w:b/>
                <w:bCs/>
                <w:color w:val="0069B4" w:themeColor="text2"/>
                <w:sz w:val="16"/>
              </w:rPr>
            </w:pPr>
            <w:r w:rsidRPr="001815E4">
              <w:rPr>
                <w:b/>
                <w:bCs/>
                <w:color w:val="0069B4" w:themeColor="text2"/>
                <w:sz w:val="16"/>
              </w:rPr>
              <w:t>Diversified Growth Fund</w:t>
            </w:r>
          </w:p>
        </w:tc>
        <w:tc>
          <w:tcPr>
            <w:tcW w:w="3908" w:type="dxa"/>
          </w:tcPr>
          <w:p w14:paraId="3C1E8EE2" w14:textId="18DD67AE" w:rsidR="00B91A98" w:rsidRPr="001815E4" w:rsidRDefault="00B91A98" w:rsidP="005414B9">
            <w:pPr>
              <w:pStyle w:val="BodyText"/>
              <w:spacing w:after="0"/>
              <w:jc w:val="center"/>
              <w:rPr>
                <w:b/>
                <w:bCs/>
                <w:color w:val="0069B4" w:themeColor="text2"/>
                <w:sz w:val="16"/>
              </w:rPr>
            </w:pPr>
            <w:r w:rsidRPr="001815E4">
              <w:rPr>
                <w:b/>
                <w:bCs/>
                <w:color w:val="0069B4" w:themeColor="text2"/>
                <w:sz w:val="16"/>
              </w:rPr>
              <w:t>Managed Fund</w:t>
            </w:r>
          </w:p>
        </w:tc>
      </w:tr>
      <w:tr w:rsidR="00B91A98" w:rsidRPr="007F4127" w14:paraId="67760D48" w14:textId="77777777" w:rsidTr="00B91A98">
        <w:trPr>
          <w:cnfStyle w:val="000000010000" w:firstRow="0" w:lastRow="0" w:firstColumn="0" w:lastColumn="0" w:oddVBand="0" w:evenVBand="0" w:oddHBand="0" w:evenHBand="1" w:firstRowFirstColumn="0" w:firstRowLastColumn="0" w:lastRowFirstColumn="0" w:lastRowLastColumn="0"/>
        </w:trPr>
        <w:tc>
          <w:tcPr>
            <w:tcW w:w="1971" w:type="dxa"/>
          </w:tcPr>
          <w:p w14:paraId="6AAF013B" w14:textId="77777777" w:rsidR="00B91A98" w:rsidRPr="007F4127" w:rsidRDefault="00B91A98" w:rsidP="009D0539">
            <w:pPr>
              <w:pStyle w:val="BodyText"/>
              <w:spacing w:after="0"/>
              <w:jc w:val="left"/>
              <w:rPr>
                <w:b/>
                <w:sz w:val="16"/>
              </w:rPr>
            </w:pPr>
            <w:r w:rsidRPr="007F4127">
              <w:rPr>
                <w:b/>
                <w:sz w:val="16"/>
              </w:rPr>
              <w:t>Structure</w:t>
            </w:r>
          </w:p>
        </w:tc>
        <w:tc>
          <w:tcPr>
            <w:tcW w:w="7815" w:type="dxa"/>
            <w:gridSpan w:val="2"/>
          </w:tcPr>
          <w:p w14:paraId="6EBB2B4E" w14:textId="02857274" w:rsidR="00B91A98" w:rsidRPr="007F4127" w:rsidRDefault="00B91A98" w:rsidP="005414B9">
            <w:pPr>
              <w:pStyle w:val="BodyText"/>
              <w:spacing w:after="0"/>
              <w:jc w:val="center"/>
              <w:rPr>
                <w:sz w:val="16"/>
              </w:rPr>
            </w:pPr>
            <w:r w:rsidRPr="007F4127">
              <w:rPr>
                <w:sz w:val="16"/>
              </w:rPr>
              <w:t>Pooled</w:t>
            </w:r>
          </w:p>
        </w:tc>
      </w:tr>
      <w:tr w:rsidR="00B91A98" w:rsidRPr="007F4127" w14:paraId="4415843F" w14:textId="77777777" w:rsidTr="00B91A98">
        <w:trPr>
          <w:cnfStyle w:val="000000100000" w:firstRow="0" w:lastRow="0" w:firstColumn="0" w:lastColumn="0" w:oddVBand="0" w:evenVBand="0" w:oddHBand="1" w:evenHBand="0" w:firstRowFirstColumn="0" w:firstRowLastColumn="0" w:lastRowFirstColumn="0" w:lastRowLastColumn="0"/>
        </w:trPr>
        <w:tc>
          <w:tcPr>
            <w:tcW w:w="1971" w:type="dxa"/>
          </w:tcPr>
          <w:p w14:paraId="36E87B31" w14:textId="77777777" w:rsidR="00B91A98" w:rsidRPr="007F4127" w:rsidRDefault="00B91A98" w:rsidP="009D0539">
            <w:pPr>
              <w:pStyle w:val="BodyText"/>
              <w:spacing w:after="0"/>
              <w:jc w:val="left"/>
              <w:rPr>
                <w:b/>
                <w:sz w:val="16"/>
              </w:rPr>
            </w:pPr>
            <w:r w:rsidRPr="007F4127">
              <w:rPr>
                <w:b/>
                <w:sz w:val="16"/>
              </w:rPr>
              <w:t xml:space="preserve">Ability to influence voting behaviour of manager </w:t>
            </w:r>
          </w:p>
        </w:tc>
        <w:tc>
          <w:tcPr>
            <w:tcW w:w="7815" w:type="dxa"/>
            <w:gridSpan w:val="2"/>
          </w:tcPr>
          <w:p w14:paraId="4201A875" w14:textId="05AF5130" w:rsidR="00B91A98" w:rsidRPr="007F4127" w:rsidRDefault="00B91A98" w:rsidP="005414B9">
            <w:pPr>
              <w:pStyle w:val="BodyText"/>
              <w:spacing w:after="0"/>
              <w:jc w:val="center"/>
              <w:rPr>
                <w:sz w:val="16"/>
              </w:rPr>
            </w:pPr>
            <w:r w:rsidRPr="007F4127">
              <w:rPr>
                <w:sz w:val="16"/>
              </w:rPr>
              <w:t>The pooled fund structure means that there is limited scope for the Trustees to influence the manager’s voting behaviour.</w:t>
            </w:r>
          </w:p>
        </w:tc>
      </w:tr>
      <w:tr w:rsidR="00B91A98" w:rsidRPr="007F4127" w14:paraId="1098BB24" w14:textId="77777777" w:rsidTr="00B91A98">
        <w:trPr>
          <w:cnfStyle w:val="000000010000" w:firstRow="0" w:lastRow="0" w:firstColumn="0" w:lastColumn="0" w:oddVBand="0" w:evenVBand="0" w:oddHBand="0" w:evenHBand="1" w:firstRowFirstColumn="0" w:firstRowLastColumn="0" w:lastRowFirstColumn="0" w:lastRowLastColumn="0"/>
        </w:trPr>
        <w:tc>
          <w:tcPr>
            <w:tcW w:w="1971" w:type="dxa"/>
          </w:tcPr>
          <w:p w14:paraId="138655BF" w14:textId="375765FB" w:rsidR="00B91A98" w:rsidRPr="007F4127" w:rsidDel="001D606F" w:rsidRDefault="00B91A98" w:rsidP="001919F9">
            <w:pPr>
              <w:pStyle w:val="BodyText"/>
              <w:spacing w:after="0"/>
              <w:jc w:val="left"/>
              <w:rPr>
                <w:b/>
                <w:sz w:val="16"/>
              </w:rPr>
            </w:pPr>
            <w:r>
              <w:rPr>
                <w:b/>
                <w:sz w:val="16"/>
              </w:rPr>
              <w:t>Number of</w:t>
            </w:r>
            <w:r w:rsidRPr="001D606F">
              <w:rPr>
                <w:b/>
                <w:sz w:val="16"/>
              </w:rPr>
              <w:t xml:space="preserve"> company meetings </w:t>
            </w:r>
            <w:r>
              <w:rPr>
                <w:b/>
                <w:sz w:val="16"/>
              </w:rPr>
              <w:t>the manager was</w:t>
            </w:r>
            <w:r w:rsidRPr="001D606F">
              <w:rPr>
                <w:b/>
                <w:sz w:val="16"/>
              </w:rPr>
              <w:t xml:space="preserve"> eligible to vote at </w:t>
            </w:r>
            <w:r>
              <w:rPr>
                <w:b/>
                <w:sz w:val="16"/>
              </w:rPr>
              <w:t>over the year</w:t>
            </w:r>
          </w:p>
        </w:tc>
        <w:tc>
          <w:tcPr>
            <w:tcW w:w="3907" w:type="dxa"/>
          </w:tcPr>
          <w:p w14:paraId="23944B64" w14:textId="252D763A" w:rsidR="00B91A98" w:rsidRPr="00351AF5" w:rsidDel="001D606F" w:rsidRDefault="00351AF5" w:rsidP="007706BD">
            <w:pPr>
              <w:pStyle w:val="BodyText"/>
              <w:spacing w:after="0"/>
              <w:jc w:val="center"/>
              <w:rPr>
                <w:sz w:val="16"/>
              </w:rPr>
            </w:pPr>
            <w:r>
              <w:rPr>
                <w:sz w:val="16"/>
              </w:rPr>
              <w:t>133</w:t>
            </w:r>
          </w:p>
        </w:tc>
        <w:tc>
          <w:tcPr>
            <w:tcW w:w="3908" w:type="dxa"/>
          </w:tcPr>
          <w:p w14:paraId="0B1D0E5A" w14:textId="5E71A55B" w:rsidR="00B91A98" w:rsidRPr="006E2294" w:rsidDel="001D606F" w:rsidRDefault="004256B2" w:rsidP="007706BD">
            <w:pPr>
              <w:pStyle w:val="BodyText"/>
              <w:spacing w:after="0"/>
              <w:jc w:val="center"/>
              <w:rPr>
                <w:sz w:val="16"/>
              </w:rPr>
            </w:pPr>
            <w:r>
              <w:rPr>
                <w:sz w:val="16"/>
              </w:rPr>
              <w:t>238</w:t>
            </w:r>
          </w:p>
        </w:tc>
      </w:tr>
      <w:tr w:rsidR="00B91A98" w:rsidRPr="007F4127" w14:paraId="35222E6E" w14:textId="77777777" w:rsidTr="00B91A98">
        <w:trPr>
          <w:cnfStyle w:val="000000100000" w:firstRow="0" w:lastRow="0" w:firstColumn="0" w:lastColumn="0" w:oddVBand="0" w:evenVBand="0" w:oddHBand="1" w:evenHBand="0" w:firstRowFirstColumn="0" w:firstRowLastColumn="0" w:lastRowFirstColumn="0" w:lastRowLastColumn="0"/>
        </w:trPr>
        <w:tc>
          <w:tcPr>
            <w:tcW w:w="1971" w:type="dxa"/>
          </w:tcPr>
          <w:p w14:paraId="67096052" w14:textId="67960806" w:rsidR="00B91A98" w:rsidRPr="007F4127" w:rsidDel="001D606F" w:rsidRDefault="00B91A98" w:rsidP="001919F9">
            <w:pPr>
              <w:pStyle w:val="BodyText"/>
              <w:spacing w:after="0"/>
              <w:jc w:val="left"/>
              <w:rPr>
                <w:b/>
                <w:sz w:val="16"/>
              </w:rPr>
            </w:pPr>
            <w:r>
              <w:rPr>
                <w:b/>
                <w:sz w:val="16"/>
              </w:rPr>
              <w:t>Number of</w:t>
            </w:r>
            <w:r w:rsidRPr="001D606F">
              <w:rPr>
                <w:b/>
                <w:sz w:val="16"/>
              </w:rPr>
              <w:t xml:space="preserve"> resolutions </w:t>
            </w:r>
            <w:r>
              <w:rPr>
                <w:b/>
                <w:sz w:val="16"/>
              </w:rPr>
              <w:t>the manager was</w:t>
            </w:r>
            <w:r w:rsidRPr="001D606F">
              <w:rPr>
                <w:b/>
                <w:sz w:val="16"/>
              </w:rPr>
              <w:t xml:space="preserve"> el</w:t>
            </w:r>
            <w:r>
              <w:rPr>
                <w:b/>
                <w:sz w:val="16"/>
              </w:rPr>
              <w:t>igible to vote on over the year</w:t>
            </w:r>
          </w:p>
        </w:tc>
        <w:tc>
          <w:tcPr>
            <w:tcW w:w="3907" w:type="dxa"/>
          </w:tcPr>
          <w:p w14:paraId="6DC11C80" w14:textId="25C29791" w:rsidR="00B91A98" w:rsidRPr="00351AF5" w:rsidDel="001D606F" w:rsidRDefault="00351AF5" w:rsidP="007706BD">
            <w:pPr>
              <w:pStyle w:val="BodyText"/>
              <w:spacing w:after="0"/>
              <w:jc w:val="center"/>
              <w:rPr>
                <w:sz w:val="16"/>
              </w:rPr>
            </w:pPr>
            <w:r>
              <w:rPr>
                <w:sz w:val="16"/>
              </w:rPr>
              <w:t>1,537</w:t>
            </w:r>
          </w:p>
        </w:tc>
        <w:tc>
          <w:tcPr>
            <w:tcW w:w="3908" w:type="dxa"/>
          </w:tcPr>
          <w:p w14:paraId="246F5E3A" w14:textId="5E030023" w:rsidR="00B91A98" w:rsidRPr="006E2294" w:rsidDel="001D606F" w:rsidRDefault="004256B2" w:rsidP="007706BD">
            <w:pPr>
              <w:pStyle w:val="BodyText"/>
              <w:spacing w:after="0"/>
              <w:jc w:val="center"/>
              <w:rPr>
                <w:sz w:val="16"/>
              </w:rPr>
            </w:pPr>
            <w:r>
              <w:rPr>
                <w:sz w:val="16"/>
              </w:rPr>
              <w:t>2,953</w:t>
            </w:r>
          </w:p>
        </w:tc>
      </w:tr>
      <w:tr w:rsidR="00B91A98" w:rsidRPr="007F4127" w14:paraId="3BE18C42" w14:textId="77777777" w:rsidTr="00B91A98">
        <w:trPr>
          <w:cnfStyle w:val="000000010000" w:firstRow="0" w:lastRow="0" w:firstColumn="0" w:lastColumn="0" w:oddVBand="0" w:evenVBand="0" w:oddHBand="0" w:evenHBand="1" w:firstRowFirstColumn="0" w:firstRowLastColumn="0" w:lastRowFirstColumn="0" w:lastRowLastColumn="0"/>
        </w:trPr>
        <w:tc>
          <w:tcPr>
            <w:tcW w:w="1971" w:type="dxa"/>
          </w:tcPr>
          <w:p w14:paraId="1DA2B4F3" w14:textId="662AA766" w:rsidR="00B91A98" w:rsidRPr="007F4127" w:rsidRDefault="00B91A98" w:rsidP="001919F9">
            <w:pPr>
              <w:pStyle w:val="BodyText"/>
              <w:spacing w:after="0"/>
              <w:jc w:val="left"/>
              <w:rPr>
                <w:b/>
                <w:sz w:val="16"/>
              </w:rPr>
            </w:pPr>
            <w:r>
              <w:rPr>
                <w:b/>
                <w:sz w:val="16"/>
              </w:rPr>
              <w:t xml:space="preserve">Percentage of resolutions the manager voted on </w:t>
            </w:r>
          </w:p>
        </w:tc>
        <w:tc>
          <w:tcPr>
            <w:tcW w:w="3907" w:type="dxa"/>
          </w:tcPr>
          <w:p w14:paraId="06049C5B" w14:textId="27CE5D58" w:rsidR="00B91A98" w:rsidRPr="00351AF5" w:rsidRDefault="00351AF5" w:rsidP="007706BD">
            <w:pPr>
              <w:pStyle w:val="BodyText"/>
              <w:spacing w:after="0"/>
              <w:jc w:val="center"/>
              <w:rPr>
                <w:sz w:val="16"/>
              </w:rPr>
            </w:pPr>
            <w:r>
              <w:rPr>
                <w:sz w:val="16"/>
              </w:rPr>
              <w:t>88.1</w:t>
            </w:r>
          </w:p>
        </w:tc>
        <w:tc>
          <w:tcPr>
            <w:tcW w:w="3908" w:type="dxa"/>
          </w:tcPr>
          <w:p w14:paraId="79EF0CDF" w14:textId="1CBDEC69" w:rsidR="00B91A98" w:rsidRPr="006E2294" w:rsidRDefault="004256B2" w:rsidP="007706BD">
            <w:pPr>
              <w:pStyle w:val="BodyText"/>
              <w:spacing w:after="0"/>
              <w:jc w:val="center"/>
              <w:rPr>
                <w:sz w:val="16"/>
              </w:rPr>
            </w:pPr>
            <w:r>
              <w:rPr>
                <w:sz w:val="16"/>
              </w:rPr>
              <w:t>98.5</w:t>
            </w:r>
          </w:p>
        </w:tc>
      </w:tr>
      <w:tr w:rsidR="00B91A98" w:rsidRPr="007F4127" w14:paraId="7973232C" w14:textId="77777777" w:rsidTr="00B91A98">
        <w:trPr>
          <w:cnfStyle w:val="000000100000" w:firstRow="0" w:lastRow="0" w:firstColumn="0" w:lastColumn="0" w:oddVBand="0" w:evenVBand="0" w:oddHBand="1" w:evenHBand="0" w:firstRowFirstColumn="0" w:firstRowLastColumn="0" w:lastRowFirstColumn="0" w:lastRowLastColumn="0"/>
        </w:trPr>
        <w:tc>
          <w:tcPr>
            <w:tcW w:w="1971" w:type="dxa"/>
          </w:tcPr>
          <w:p w14:paraId="56CE9877" w14:textId="3DE0D5BF" w:rsidR="00B91A98" w:rsidRPr="007F4127" w:rsidRDefault="00B91A98" w:rsidP="001919F9">
            <w:pPr>
              <w:pStyle w:val="BodyText"/>
              <w:spacing w:after="0"/>
              <w:jc w:val="left"/>
              <w:rPr>
                <w:b/>
                <w:sz w:val="16"/>
              </w:rPr>
            </w:pPr>
            <w:r>
              <w:rPr>
                <w:b/>
                <w:sz w:val="16"/>
              </w:rPr>
              <w:t>Percentage of resolutions the manager abstained from</w:t>
            </w:r>
          </w:p>
        </w:tc>
        <w:tc>
          <w:tcPr>
            <w:tcW w:w="3907" w:type="dxa"/>
          </w:tcPr>
          <w:p w14:paraId="4EBBFAED" w14:textId="18B1725F" w:rsidR="00B91A98" w:rsidRPr="00351AF5" w:rsidRDefault="00351AF5" w:rsidP="007706BD">
            <w:pPr>
              <w:pStyle w:val="BodyText"/>
              <w:spacing w:after="0"/>
              <w:jc w:val="center"/>
              <w:rPr>
                <w:sz w:val="16"/>
              </w:rPr>
            </w:pPr>
            <w:r>
              <w:rPr>
                <w:sz w:val="16"/>
              </w:rPr>
              <w:t>0.6</w:t>
            </w:r>
          </w:p>
        </w:tc>
        <w:tc>
          <w:tcPr>
            <w:tcW w:w="3908" w:type="dxa"/>
          </w:tcPr>
          <w:p w14:paraId="1C962CF1" w14:textId="1B2CD43B" w:rsidR="00B91A98" w:rsidRPr="006E2294" w:rsidRDefault="004256B2" w:rsidP="007706BD">
            <w:pPr>
              <w:pStyle w:val="BodyText"/>
              <w:spacing w:after="0"/>
              <w:jc w:val="center"/>
              <w:rPr>
                <w:sz w:val="16"/>
              </w:rPr>
            </w:pPr>
            <w:r>
              <w:rPr>
                <w:sz w:val="16"/>
              </w:rPr>
              <w:t>1.5</w:t>
            </w:r>
          </w:p>
        </w:tc>
      </w:tr>
      <w:tr w:rsidR="00B91A98" w:rsidRPr="007F4127" w14:paraId="2CECF97A" w14:textId="77777777" w:rsidTr="00B91A98">
        <w:trPr>
          <w:cnfStyle w:val="000000010000" w:firstRow="0" w:lastRow="0" w:firstColumn="0" w:lastColumn="0" w:oddVBand="0" w:evenVBand="0" w:oddHBand="0" w:evenHBand="1" w:firstRowFirstColumn="0" w:firstRowLastColumn="0" w:lastRowFirstColumn="0" w:lastRowLastColumn="0"/>
        </w:trPr>
        <w:tc>
          <w:tcPr>
            <w:tcW w:w="1971" w:type="dxa"/>
          </w:tcPr>
          <w:p w14:paraId="05285BC4" w14:textId="28279B92" w:rsidR="00B91A98" w:rsidDel="001D606F" w:rsidRDefault="00B91A98" w:rsidP="001919F9">
            <w:pPr>
              <w:pStyle w:val="BodyText"/>
              <w:spacing w:after="0"/>
              <w:jc w:val="left"/>
              <w:rPr>
                <w:b/>
                <w:sz w:val="16"/>
              </w:rPr>
            </w:pPr>
            <w:r>
              <w:rPr>
                <w:b/>
                <w:sz w:val="16"/>
              </w:rPr>
              <w:t xml:space="preserve">Percentage of resolutions voted </w:t>
            </w:r>
            <w:r w:rsidRPr="001919F9">
              <w:rPr>
                <w:b/>
                <w:i/>
                <w:sz w:val="16"/>
              </w:rPr>
              <w:t>with</w:t>
            </w:r>
            <w:r>
              <w:rPr>
                <w:b/>
                <w:sz w:val="16"/>
              </w:rPr>
              <w:t xml:space="preserve"> management, as a percentage of the total number of resolutions voted on </w:t>
            </w:r>
          </w:p>
        </w:tc>
        <w:tc>
          <w:tcPr>
            <w:tcW w:w="3907" w:type="dxa"/>
          </w:tcPr>
          <w:p w14:paraId="78552DD0" w14:textId="510C4BAE" w:rsidR="00B91A98" w:rsidRPr="00351AF5" w:rsidDel="001D606F" w:rsidRDefault="00351AF5" w:rsidP="007706BD">
            <w:pPr>
              <w:pStyle w:val="BodyText"/>
              <w:spacing w:after="0"/>
              <w:jc w:val="center"/>
              <w:rPr>
                <w:sz w:val="16"/>
              </w:rPr>
            </w:pPr>
            <w:r>
              <w:rPr>
                <w:sz w:val="16"/>
              </w:rPr>
              <w:t>96.0</w:t>
            </w:r>
          </w:p>
        </w:tc>
        <w:tc>
          <w:tcPr>
            <w:tcW w:w="3908" w:type="dxa"/>
          </w:tcPr>
          <w:p w14:paraId="76CB8CEE" w14:textId="6A6EEC57" w:rsidR="00B91A98" w:rsidRPr="006E2294" w:rsidDel="001D606F" w:rsidRDefault="004256B2" w:rsidP="007706BD">
            <w:pPr>
              <w:pStyle w:val="BodyText"/>
              <w:spacing w:after="0"/>
              <w:jc w:val="center"/>
              <w:rPr>
                <w:sz w:val="16"/>
              </w:rPr>
            </w:pPr>
            <w:r>
              <w:rPr>
                <w:sz w:val="16"/>
              </w:rPr>
              <w:t>97.0</w:t>
            </w:r>
          </w:p>
        </w:tc>
      </w:tr>
      <w:tr w:rsidR="00B91A98" w:rsidRPr="007F4127" w14:paraId="773B6797" w14:textId="77777777" w:rsidTr="00B91A98">
        <w:trPr>
          <w:cnfStyle w:val="000000100000" w:firstRow="0" w:lastRow="0" w:firstColumn="0" w:lastColumn="0" w:oddVBand="0" w:evenVBand="0" w:oddHBand="1" w:evenHBand="0" w:firstRowFirstColumn="0" w:firstRowLastColumn="0" w:lastRowFirstColumn="0" w:lastRowLastColumn="0"/>
        </w:trPr>
        <w:tc>
          <w:tcPr>
            <w:tcW w:w="1971" w:type="dxa"/>
          </w:tcPr>
          <w:p w14:paraId="551B1F20" w14:textId="0EA9B89B" w:rsidR="00B91A98" w:rsidRPr="007F4127" w:rsidRDefault="00B91A98" w:rsidP="001919F9">
            <w:pPr>
              <w:pStyle w:val="BodyText"/>
              <w:spacing w:after="0"/>
              <w:jc w:val="left"/>
              <w:rPr>
                <w:b/>
                <w:sz w:val="16"/>
              </w:rPr>
            </w:pPr>
            <w:r>
              <w:rPr>
                <w:b/>
                <w:sz w:val="16"/>
              </w:rPr>
              <w:t xml:space="preserve">Percentage of resolutions voted </w:t>
            </w:r>
            <w:r w:rsidRPr="001919F9">
              <w:rPr>
                <w:b/>
                <w:i/>
                <w:sz w:val="16"/>
              </w:rPr>
              <w:t>against</w:t>
            </w:r>
            <w:r>
              <w:rPr>
                <w:b/>
                <w:sz w:val="16"/>
              </w:rPr>
              <w:t xml:space="preserve"> management, as a percentage of the total number of resolutions voted on</w:t>
            </w:r>
          </w:p>
        </w:tc>
        <w:tc>
          <w:tcPr>
            <w:tcW w:w="3907" w:type="dxa"/>
          </w:tcPr>
          <w:p w14:paraId="0C85FAAD" w14:textId="2643CB32" w:rsidR="00B91A98" w:rsidRPr="00351AF5" w:rsidRDefault="00351AF5" w:rsidP="007706BD">
            <w:pPr>
              <w:pStyle w:val="BodyText"/>
              <w:spacing w:after="0"/>
              <w:jc w:val="center"/>
              <w:rPr>
                <w:sz w:val="16"/>
              </w:rPr>
            </w:pPr>
            <w:r>
              <w:rPr>
                <w:sz w:val="16"/>
              </w:rPr>
              <w:t>3.4</w:t>
            </w:r>
          </w:p>
        </w:tc>
        <w:tc>
          <w:tcPr>
            <w:tcW w:w="3908" w:type="dxa"/>
          </w:tcPr>
          <w:p w14:paraId="0AEE6F7B" w14:textId="44C247E8" w:rsidR="00B91A98" w:rsidRPr="006E2294" w:rsidRDefault="004256B2" w:rsidP="007706BD">
            <w:pPr>
              <w:pStyle w:val="BodyText"/>
              <w:spacing w:after="0"/>
              <w:jc w:val="center"/>
              <w:rPr>
                <w:sz w:val="16"/>
              </w:rPr>
            </w:pPr>
            <w:r>
              <w:rPr>
                <w:sz w:val="16"/>
              </w:rPr>
              <w:t>1.5</w:t>
            </w:r>
          </w:p>
        </w:tc>
      </w:tr>
      <w:tr w:rsidR="00B91A98" w:rsidRPr="007F4127" w14:paraId="5D35F2F1" w14:textId="77777777" w:rsidTr="00B91A98">
        <w:trPr>
          <w:cnfStyle w:val="000000010000" w:firstRow="0" w:lastRow="0" w:firstColumn="0" w:lastColumn="0" w:oddVBand="0" w:evenVBand="0" w:oddHBand="0" w:evenHBand="1" w:firstRowFirstColumn="0" w:firstRowLastColumn="0" w:lastRowFirstColumn="0" w:lastRowLastColumn="0"/>
        </w:trPr>
        <w:tc>
          <w:tcPr>
            <w:tcW w:w="1971" w:type="dxa"/>
          </w:tcPr>
          <w:p w14:paraId="3D01F150" w14:textId="2631BB38" w:rsidR="00B91A98" w:rsidRPr="007F4127" w:rsidRDefault="00B91A98" w:rsidP="001919F9">
            <w:pPr>
              <w:pStyle w:val="BodyText"/>
              <w:spacing w:after="0"/>
              <w:jc w:val="left"/>
              <w:rPr>
                <w:b/>
                <w:sz w:val="16"/>
              </w:rPr>
            </w:pPr>
            <w:r>
              <w:rPr>
                <w:b/>
                <w:sz w:val="16"/>
              </w:rPr>
              <w:t xml:space="preserve">Percentage of resolutions </w:t>
            </w:r>
            <w:proofErr w:type="gramStart"/>
            <w:r>
              <w:rPr>
                <w:b/>
                <w:sz w:val="16"/>
              </w:rPr>
              <w:t>voted  contrary</w:t>
            </w:r>
            <w:proofErr w:type="gramEnd"/>
            <w:r>
              <w:rPr>
                <w:b/>
                <w:sz w:val="16"/>
              </w:rPr>
              <w:t xml:space="preserve"> to the recommendation of the proxy advisor</w:t>
            </w:r>
          </w:p>
        </w:tc>
        <w:tc>
          <w:tcPr>
            <w:tcW w:w="3907" w:type="dxa"/>
          </w:tcPr>
          <w:p w14:paraId="0E93525F" w14:textId="319EC026" w:rsidR="00B91A98" w:rsidRPr="00351AF5" w:rsidRDefault="00351AF5" w:rsidP="007706BD">
            <w:pPr>
              <w:pStyle w:val="BodyText"/>
              <w:spacing w:after="0"/>
              <w:jc w:val="center"/>
              <w:rPr>
                <w:sz w:val="16"/>
              </w:rPr>
            </w:pPr>
            <w:r>
              <w:rPr>
                <w:sz w:val="16"/>
              </w:rPr>
              <w:t>n/a</w:t>
            </w:r>
          </w:p>
        </w:tc>
        <w:tc>
          <w:tcPr>
            <w:tcW w:w="3908" w:type="dxa"/>
          </w:tcPr>
          <w:p w14:paraId="44CBC4DA" w14:textId="067F2EC0" w:rsidR="00B91A98" w:rsidRPr="006E2294" w:rsidRDefault="004256B2" w:rsidP="007706BD">
            <w:pPr>
              <w:pStyle w:val="BodyText"/>
              <w:spacing w:after="0"/>
              <w:jc w:val="center"/>
              <w:rPr>
                <w:sz w:val="16"/>
              </w:rPr>
            </w:pPr>
            <w:r>
              <w:rPr>
                <w:sz w:val="16"/>
              </w:rPr>
              <w:t>n/a</w:t>
            </w:r>
          </w:p>
        </w:tc>
      </w:tr>
    </w:tbl>
    <w:p w14:paraId="40D11878" w14:textId="51141FE3" w:rsidR="00B91A98" w:rsidRDefault="00B91A98" w:rsidP="00B91A98">
      <w:pPr>
        <w:pStyle w:val="BodyText"/>
        <w:rPr>
          <w:i/>
          <w:iCs/>
          <w:sz w:val="16"/>
          <w:szCs w:val="16"/>
        </w:rPr>
      </w:pPr>
      <w:r w:rsidRPr="00B91A98">
        <w:rPr>
          <w:i/>
          <w:iCs/>
          <w:sz w:val="16"/>
          <w:szCs w:val="16"/>
        </w:rPr>
        <w:t>Source: Baillie Gifford</w:t>
      </w:r>
    </w:p>
    <w:p w14:paraId="0C182401" w14:textId="380D620D" w:rsidR="00B91A98" w:rsidRDefault="00B91A98" w:rsidP="00B91A98">
      <w:pPr>
        <w:pStyle w:val="Heading3"/>
      </w:pPr>
      <w:r>
        <w:lastRenderedPageBreak/>
        <w:t>Proxy Voting</w:t>
      </w:r>
    </w:p>
    <w:p w14:paraId="0997FE8C" w14:textId="77777777" w:rsidR="00942AC3" w:rsidRDefault="00942AC3" w:rsidP="00942AC3">
      <w:pPr>
        <w:pStyle w:val="BodyText"/>
      </w:pPr>
      <w:r w:rsidRPr="00B20145">
        <w:t xml:space="preserve">Whilst </w:t>
      </w:r>
      <w:r>
        <w:t>Baillie Gifford</w:t>
      </w:r>
      <w:r w:rsidRPr="00B20145">
        <w:t xml:space="preserve"> are cognisant of proxy advisers’ voting recommendations (</w:t>
      </w:r>
      <w:r w:rsidRPr="00BE7E17">
        <w:t>Institutional Shareholder Services</w:t>
      </w:r>
      <w:r>
        <w:t xml:space="preserve"> (“ISS”)</w:t>
      </w:r>
      <w:r w:rsidRPr="00BE7E17">
        <w:t xml:space="preserve"> </w:t>
      </w:r>
      <w:r w:rsidRPr="00B20145">
        <w:t xml:space="preserve">and Glass Lewis), </w:t>
      </w:r>
      <w:r>
        <w:t>they</w:t>
      </w:r>
      <w:r w:rsidRPr="00B20145">
        <w:t xml:space="preserve"> do not delegate or outsource any of </w:t>
      </w:r>
      <w:r>
        <w:t xml:space="preserve">their </w:t>
      </w:r>
      <w:r w:rsidRPr="00B20145">
        <w:t xml:space="preserve">stewardship activities or follow or rely upon </w:t>
      </w:r>
      <w:r>
        <w:t xml:space="preserve">proxy advisers’ </w:t>
      </w:r>
      <w:r w:rsidRPr="00B20145">
        <w:t xml:space="preserve">recommendations when deciding how to vote on </w:t>
      </w:r>
      <w:r>
        <w:t>their</w:t>
      </w:r>
      <w:r w:rsidRPr="00B20145">
        <w:t xml:space="preserve"> clients’ shares. All client voting decisions are made in-house. </w:t>
      </w:r>
      <w:r>
        <w:t xml:space="preserve">Baillie Gifford </w:t>
      </w:r>
      <w:r w:rsidRPr="00B20145">
        <w:t xml:space="preserve">vote in line with </w:t>
      </w:r>
      <w:r>
        <w:t xml:space="preserve">their </w:t>
      </w:r>
      <w:r w:rsidRPr="00B20145">
        <w:t>in-house policy and not with the proxy voting providers’ policies.</w:t>
      </w:r>
    </w:p>
    <w:p w14:paraId="56773388" w14:textId="5EDBD171" w:rsidR="009D0539" w:rsidRDefault="00EC4E7F" w:rsidP="007F4127">
      <w:pPr>
        <w:pStyle w:val="Heading3"/>
      </w:pPr>
      <w:r>
        <w:t>Significant votes</w:t>
      </w:r>
    </w:p>
    <w:p w14:paraId="31FEC507" w14:textId="55CDC091" w:rsidR="006C1E9B" w:rsidRPr="006C1E9B" w:rsidRDefault="006C1E9B" w:rsidP="006C1E9B">
      <w:pPr>
        <w:pStyle w:val="BodyText"/>
      </w:pPr>
      <w:r w:rsidRPr="006C1E9B">
        <w:t xml:space="preserve">The change in Investment and Disclosure Regulations that came into force from October 2020 requires information on significant votes carried out on behalf of the Trustee over the year to be set out.  The guidance does not currently define what constitutes a “significant” vote, so for this Implementation Statement the Trustee has asked the investment manager to determine what they believe to be a “significant vote”.  </w:t>
      </w:r>
    </w:p>
    <w:p w14:paraId="05F1C0FE" w14:textId="59D921DC" w:rsidR="00C05679" w:rsidRDefault="00C05679" w:rsidP="00C05679">
      <w:pPr>
        <w:spacing w:after="200"/>
        <w:jc w:val="both"/>
        <w:rPr>
          <w:szCs w:val="20"/>
          <w:lang w:val="en-GB" w:bidi="ar-SA"/>
        </w:rPr>
      </w:pPr>
      <w:r w:rsidRPr="00856A4E">
        <w:rPr>
          <w:szCs w:val="20"/>
          <w:lang w:val="en-GB" w:bidi="ar-SA"/>
        </w:rPr>
        <w:t xml:space="preserve">The </w:t>
      </w:r>
      <w:r w:rsidR="00E1481C">
        <w:rPr>
          <w:szCs w:val="20"/>
          <w:lang w:val="en-GB" w:bidi="ar-SA"/>
        </w:rPr>
        <w:t>Scheme</w:t>
      </w:r>
      <w:r>
        <w:rPr>
          <w:szCs w:val="20"/>
          <w:lang w:val="en-GB" w:bidi="ar-SA"/>
        </w:rPr>
        <w:t>’s</w:t>
      </w:r>
      <w:r w:rsidRPr="00856A4E">
        <w:rPr>
          <w:szCs w:val="20"/>
          <w:lang w:val="en-GB" w:bidi="ar-SA"/>
        </w:rPr>
        <w:t xml:space="preserve"> investment consultant, Barnett Waddingham, requested </w:t>
      </w:r>
      <w:r w:rsidR="00440767">
        <w:rPr>
          <w:szCs w:val="20"/>
          <w:lang w:val="en-GB" w:bidi="ar-SA"/>
        </w:rPr>
        <w:t xml:space="preserve">data on </w:t>
      </w:r>
      <w:r w:rsidRPr="00856A4E">
        <w:rPr>
          <w:szCs w:val="20"/>
          <w:lang w:val="en-GB" w:bidi="ar-SA"/>
        </w:rPr>
        <w:t>significant vot</w:t>
      </w:r>
      <w:r w:rsidR="00440767">
        <w:rPr>
          <w:szCs w:val="20"/>
          <w:lang w:val="en-GB" w:bidi="ar-SA"/>
        </w:rPr>
        <w:t>es</w:t>
      </w:r>
      <w:r w:rsidRPr="00856A4E">
        <w:rPr>
          <w:szCs w:val="20"/>
          <w:lang w:val="en-GB" w:bidi="ar-SA"/>
        </w:rPr>
        <w:t xml:space="preserve"> </w:t>
      </w:r>
      <w:r w:rsidR="00440767">
        <w:rPr>
          <w:szCs w:val="20"/>
          <w:lang w:val="en-GB" w:bidi="ar-SA"/>
        </w:rPr>
        <w:t xml:space="preserve">during the reporting period </w:t>
      </w:r>
      <w:r w:rsidRPr="00856A4E">
        <w:rPr>
          <w:szCs w:val="20"/>
          <w:lang w:val="en-GB" w:bidi="ar-SA"/>
        </w:rPr>
        <w:t xml:space="preserve">from </w:t>
      </w:r>
      <w:r>
        <w:rPr>
          <w:szCs w:val="20"/>
          <w:lang w:val="en-GB" w:bidi="ar-SA"/>
        </w:rPr>
        <w:t>Baillie Gifford</w:t>
      </w:r>
      <w:r w:rsidRPr="00856A4E">
        <w:rPr>
          <w:szCs w:val="20"/>
          <w:lang w:val="en-GB" w:bidi="ar-SA"/>
        </w:rPr>
        <w:t xml:space="preserve">. </w:t>
      </w:r>
      <w:r>
        <w:rPr>
          <w:szCs w:val="20"/>
          <w:lang w:val="en-GB" w:bidi="ar-SA"/>
        </w:rPr>
        <w:t>Details of their responses are given in the tables below.</w:t>
      </w:r>
    </w:p>
    <w:p w14:paraId="0237872B" w14:textId="27491C05" w:rsidR="00E23FD9" w:rsidRDefault="00C05679" w:rsidP="00C05679">
      <w:pPr>
        <w:spacing w:after="200"/>
        <w:jc w:val="both"/>
        <w:rPr>
          <w:szCs w:val="20"/>
          <w:lang w:val="en-GB" w:bidi="ar-SA"/>
        </w:rPr>
      </w:pPr>
      <w:r>
        <w:rPr>
          <w:szCs w:val="20"/>
          <w:lang w:val="en-GB" w:bidi="ar-SA"/>
        </w:rPr>
        <w:t>Where Baillie Gifford provided details of more than three significant votes, we have shown a sample of the votes provided.  Further detail about the significant votes not shown here and about the managers’ voting rationales is available upon request.</w:t>
      </w:r>
    </w:p>
    <w:p w14:paraId="7D1744A5" w14:textId="20117790" w:rsidR="00812DB6" w:rsidRDefault="00812DB6" w:rsidP="00812DB6">
      <w:pPr>
        <w:pStyle w:val="BodyText"/>
        <w:rPr>
          <w:b/>
        </w:rPr>
      </w:pPr>
      <w:r w:rsidRPr="007942A6">
        <w:rPr>
          <w:b/>
          <w:color w:val="009FE3" w:themeColor="background2"/>
        </w:rPr>
        <w:t>Baillie Gifford Diversified Growth Fund</w:t>
      </w:r>
    </w:p>
    <w:tbl>
      <w:tblPr>
        <w:tblStyle w:val="bwTable"/>
        <w:tblW w:w="9923" w:type="dxa"/>
        <w:tblLook w:val="04A0" w:firstRow="1" w:lastRow="0" w:firstColumn="1" w:lastColumn="0" w:noHBand="0" w:noVBand="1"/>
      </w:tblPr>
      <w:tblGrid>
        <w:gridCol w:w="2480"/>
        <w:gridCol w:w="2481"/>
        <w:gridCol w:w="2481"/>
        <w:gridCol w:w="2481"/>
      </w:tblGrid>
      <w:tr w:rsidR="00812DB6" w:rsidRPr="007F4127" w14:paraId="12C790D8" w14:textId="77777777" w:rsidTr="003A4534">
        <w:trPr>
          <w:cnfStyle w:val="100000000000" w:firstRow="1" w:lastRow="0" w:firstColumn="0" w:lastColumn="0" w:oddVBand="0" w:evenVBand="0" w:oddHBand="0" w:evenHBand="0" w:firstRowFirstColumn="0" w:firstRowLastColumn="0" w:lastRowFirstColumn="0" w:lastRowLastColumn="0"/>
          <w:tblHeader/>
        </w:trPr>
        <w:tc>
          <w:tcPr>
            <w:tcW w:w="2480" w:type="dxa"/>
          </w:tcPr>
          <w:p w14:paraId="00B15A5E" w14:textId="77777777" w:rsidR="00812DB6" w:rsidRPr="007F4127" w:rsidRDefault="00812DB6" w:rsidP="003A4534">
            <w:pPr>
              <w:pStyle w:val="BodyText"/>
              <w:spacing w:after="0"/>
              <w:jc w:val="left"/>
              <w:rPr>
                <w:b/>
                <w:sz w:val="16"/>
              </w:rPr>
            </w:pPr>
          </w:p>
        </w:tc>
        <w:tc>
          <w:tcPr>
            <w:tcW w:w="2481" w:type="dxa"/>
          </w:tcPr>
          <w:p w14:paraId="2EE47555" w14:textId="77777777" w:rsidR="00812DB6" w:rsidRPr="007F4127" w:rsidRDefault="00812DB6" w:rsidP="003A4534">
            <w:pPr>
              <w:pStyle w:val="BodyText"/>
              <w:spacing w:after="0"/>
              <w:jc w:val="center"/>
              <w:rPr>
                <w:b/>
                <w:sz w:val="16"/>
              </w:rPr>
            </w:pPr>
            <w:r w:rsidRPr="007F4127">
              <w:rPr>
                <w:b/>
                <w:sz w:val="16"/>
              </w:rPr>
              <w:t>Vote 1</w:t>
            </w:r>
          </w:p>
        </w:tc>
        <w:tc>
          <w:tcPr>
            <w:tcW w:w="2481" w:type="dxa"/>
          </w:tcPr>
          <w:p w14:paraId="0D7605AA" w14:textId="77777777" w:rsidR="00812DB6" w:rsidRPr="007F4127" w:rsidRDefault="00812DB6" w:rsidP="003A4534">
            <w:pPr>
              <w:pStyle w:val="BodyText"/>
              <w:spacing w:after="0"/>
              <w:jc w:val="center"/>
              <w:rPr>
                <w:b/>
                <w:sz w:val="16"/>
              </w:rPr>
            </w:pPr>
            <w:r w:rsidRPr="007F4127">
              <w:rPr>
                <w:b/>
                <w:sz w:val="16"/>
              </w:rPr>
              <w:t>Vote 2</w:t>
            </w:r>
          </w:p>
        </w:tc>
        <w:tc>
          <w:tcPr>
            <w:tcW w:w="2481" w:type="dxa"/>
          </w:tcPr>
          <w:p w14:paraId="03C40A30" w14:textId="77777777" w:rsidR="00812DB6" w:rsidRPr="007F4127" w:rsidRDefault="00812DB6" w:rsidP="003A4534">
            <w:pPr>
              <w:pStyle w:val="BodyText"/>
              <w:spacing w:after="0"/>
              <w:jc w:val="center"/>
              <w:rPr>
                <w:b/>
                <w:sz w:val="16"/>
              </w:rPr>
            </w:pPr>
            <w:r w:rsidRPr="007F4127">
              <w:rPr>
                <w:b/>
                <w:sz w:val="16"/>
              </w:rPr>
              <w:t>Vote 3</w:t>
            </w:r>
          </w:p>
        </w:tc>
      </w:tr>
      <w:tr w:rsidR="007942A6" w:rsidRPr="006C1E9B" w14:paraId="5D2154BD" w14:textId="77777777" w:rsidTr="00B24878">
        <w:trPr>
          <w:cnfStyle w:val="000000100000" w:firstRow="0" w:lastRow="0" w:firstColumn="0" w:lastColumn="0" w:oddVBand="0" w:evenVBand="0" w:oddHBand="1" w:evenHBand="0" w:firstRowFirstColumn="0" w:firstRowLastColumn="0" w:lastRowFirstColumn="0" w:lastRowLastColumn="0"/>
        </w:trPr>
        <w:tc>
          <w:tcPr>
            <w:tcW w:w="2480" w:type="dxa"/>
          </w:tcPr>
          <w:p w14:paraId="0D0C6F8C" w14:textId="77777777" w:rsidR="007942A6" w:rsidRPr="007F4127" w:rsidRDefault="007942A6" w:rsidP="00B24878">
            <w:pPr>
              <w:pStyle w:val="BodyText"/>
              <w:spacing w:after="0"/>
              <w:jc w:val="left"/>
              <w:rPr>
                <w:b/>
                <w:sz w:val="16"/>
              </w:rPr>
            </w:pPr>
            <w:r w:rsidRPr="007F4127">
              <w:rPr>
                <w:b/>
                <w:sz w:val="16"/>
              </w:rPr>
              <w:t>Company name</w:t>
            </w:r>
          </w:p>
        </w:tc>
        <w:tc>
          <w:tcPr>
            <w:tcW w:w="2481" w:type="dxa"/>
          </w:tcPr>
          <w:p w14:paraId="31200B1D" w14:textId="648AB0E8" w:rsidR="007942A6" w:rsidRPr="002434EF" w:rsidRDefault="002434EF" w:rsidP="00B24878">
            <w:pPr>
              <w:pStyle w:val="BodyText"/>
              <w:spacing w:after="0"/>
              <w:jc w:val="center"/>
              <w:rPr>
                <w:sz w:val="16"/>
                <w:szCs w:val="16"/>
              </w:rPr>
            </w:pPr>
            <w:r>
              <w:rPr>
                <w:sz w:val="16"/>
                <w:szCs w:val="16"/>
              </w:rPr>
              <w:t>Galaxy Entertainment Group Ltd</w:t>
            </w:r>
          </w:p>
        </w:tc>
        <w:tc>
          <w:tcPr>
            <w:tcW w:w="2481" w:type="dxa"/>
          </w:tcPr>
          <w:p w14:paraId="3557310A" w14:textId="52F06166" w:rsidR="007942A6" w:rsidRPr="002434EF" w:rsidRDefault="002434EF" w:rsidP="00B24878">
            <w:pPr>
              <w:pStyle w:val="BodyText"/>
              <w:spacing w:after="0"/>
              <w:jc w:val="center"/>
              <w:rPr>
                <w:sz w:val="16"/>
                <w:szCs w:val="16"/>
              </w:rPr>
            </w:pPr>
            <w:r>
              <w:rPr>
                <w:sz w:val="16"/>
                <w:szCs w:val="16"/>
              </w:rPr>
              <w:t>Greggs PLC</w:t>
            </w:r>
          </w:p>
        </w:tc>
        <w:tc>
          <w:tcPr>
            <w:tcW w:w="2481" w:type="dxa"/>
          </w:tcPr>
          <w:p w14:paraId="6D011220" w14:textId="1A4ADE58" w:rsidR="007942A6" w:rsidRPr="002434EF" w:rsidRDefault="002434EF" w:rsidP="00B24878">
            <w:pPr>
              <w:pStyle w:val="BodyText"/>
              <w:spacing w:after="0"/>
              <w:jc w:val="center"/>
              <w:rPr>
                <w:sz w:val="16"/>
                <w:szCs w:val="16"/>
              </w:rPr>
            </w:pPr>
            <w:r>
              <w:rPr>
                <w:sz w:val="16"/>
                <w:szCs w:val="16"/>
              </w:rPr>
              <w:t>Booking Holdings Inc.</w:t>
            </w:r>
          </w:p>
        </w:tc>
      </w:tr>
      <w:tr w:rsidR="007942A6" w:rsidRPr="006C1E9B" w14:paraId="2A81730D" w14:textId="77777777" w:rsidTr="00B24878">
        <w:trPr>
          <w:cnfStyle w:val="000000010000" w:firstRow="0" w:lastRow="0" w:firstColumn="0" w:lastColumn="0" w:oddVBand="0" w:evenVBand="0" w:oddHBand="0" w:evenHBand="1" w:firstRowFirstColumn="0" w:firstRowLastColumn="0" w:lastRowFirstColumn="0" w:lastRowLastColumn="0"/>
        </w:trPr>
        <w:tc>
          <w:tcPr>
            <w:tcW w:w="2480" w:type="dxa"/>
          </w:tcPr>
          <w:p w14:paraId="62BCC9AC" w14:textId="77777777" w:rsidR="007942A6" w:rsidRPr="007F4127" w:rsidRDefault="007942A6" w:rsidP="00B24878">
            <w:pPr>
              <w:pStyle w:val="BodyText"/>
              <w:spacing w:after="0"/>
              <w:jc w:val="left"/>
              <w:rPr>
                <w:b/>
                <w:sz w:val="16"/>
              </w:rPr>
            </w:pPr>
            <w:r w:rsidRPr="007F4127">
              <w:rPr>
                <w:b/>
                <w:sz w:val="16"/>
              </w:rPr>
              <w:t>Date of vote</w:t>
            </w:r>
          </w:p>
        </w:tc>
        <w:tc>
          <w:tcPr>
            <w:tcW w:w="2481" w:type="dxa"/>
          </w:tcPr>
          <w:p w14:paraId="7F91C4B7" w14:textId="029FFEBB" w:rsidR="007942A6" w:rsidRPr="002434EF" w:rsidRDefault="002434EF" w:rsidP="00B24878">
            <w:pPr>
              <w:pStyle w:val="BodyText"/>
              <w:spacing w:after="0"/>
              <w:jc w:val="center"/>
              <w:rPr>
                <w:sz w:val="16"/>
                <w:szCs w:val="16"/>
              </w:rPr>
            </w:pPr>
            <w:r>
              <w:rPr>
                <w:sz w:val="16"/>
                <w:szCs w:val="16"/>
              </w:rPr>
              <w:t>13 May 2021</w:t>
            </w:r>
          </w:p>
        </w:tc>
        <w:tc>
          <w:tcPr>
            <w:tcW w:w="2481" w:type="dxa"/>
          </w:tcPr>
          <w:p w14:paraId="16349CA4" w14:textId="02353416" w:rsidR="007942A6" w:rsidRPr="002434EF" w:rsidRDefault="002434EF" w:rsidP="00B24878">
            <w:pPr>
              <w:pStyle w:val="BodyText"/>
              <w:spacing w:after="0"/>
              <w:jc w:val="center"/>
              <w:rPr>
                <w:sz w:val="16"/>
                <w:szCs w:val="16"/>
              </w:rPr>
            </w:pPr>
            <w:r>
              <w:rPr>
                <w:sz w:val="16"/>
                <w:szCs w:val="16"/>
              </w:rPr>
              <w:t>14 May 2021</w:t>
            </w:r>
          </w:p>
        </w:tc>
        <w:tc>
          <w:tcPr>
            <w:tcW w:w="2481" w:type="dxa"/>
          </w:tcPr>
          <w:p w14:paraId="7B69F24D" w14:textId="2D2F0646" w:rsidR="007942A6" w:rsidRPr="002434EF" w:rsidRDefault="002434EF" w:rsidP="00B24878">
            <w:pPr>
              <w:pStyle w:val="BodyText"/>
              <w:spacing w:after="0"/>
              <w:jc w:val="center"/>
              <w:rPr>
                <w:sz w:val="16"/>
                <w:szCs w:val="16"/>
              </w:rPr>
            </w:pPr>
            <w:r>
              <w:rPr>
                <w:sz w:val="16"/>
                <w:szCs w:val="16"/>
              </w:rPr>
              <w:t>3 June 2021</w:t>
            </w:r>
          </w:p>
        </w:tc>
      </w:tr>
      <w:tr w:rsidR="007942A6" w:rsidRPr="006C1E9B" w14:paraId="6E1DA311" w14:textId="77777777" w:rsidTr="00B24878">
        <w:trPr>
          <w:cnfStyle w:val="000000100000" w:firstRow="0" w:lastRow="0" w:firstColumn="0" w:lastColumn="0" w:oddVBand="0" w:evenVBand="0" w:oddHBand="1" w:evenHBand="0" w:firstRowFirstColumn="0" w:firstRowLastColumn="0" w:lastRowFirstColumn="0" w:lastRowLastColumn="0"/>
        </w:trPr>
        <w:tc>
          <w:tcPr>
            <w:tcW w:w="2480" w:type="dxa"/>
          </w:tcPr>
          <w:p w14:paraId="432795F6" w14:textId="77777777" w:rsidR="007942A6" w:rsidRPr="007F4127" w:rsidRDefault="007942A6" w:rsidP="00B24878">
            <w:pPr>
              <w:pStyle w:val="BodyText"/>
              <w:spacing w:after="0"/>
              <w:jc w:val="left"/>
              <w:rPr>
                <w:b/>
                <w:sz w:val="16"/>
              </w:rPr>
            </w:pPr>
            <w:r w:rsidRPr="007F4127">
              <w:rPr>
                <w:b/>
                <w:sz w:val="16"/>
              </w:rPr>
              <w:t>Approximate size of fund's holding as at the date of the vote (as % of portfolio)</w:t>
            </w:r>
          </w:p>
        </w:tc>
        <w:tc>
          <w:tcPr>
            <w:tcW w:w="2481" w:type="dxa"/>
          </w:tcPr>
          <w:p w14:paraId="60B0C8D8" w14:textId="2199FD84" w:rsidR="007942A6" w:rsidRPr="002434EF" w:rsidRDefault="002434EF" w:rsidP="00B24878">
            <w:pPr>
              <w:pStyle w:val="BodyText"/>
              <w:spacing w:after="0"/>
              <w:jc w:val="center"/>
              <w:rPr>
                <w:sz w:val="16"/>
                <w:szCs w:val="16"/>
              </w:rPr>
            </w:pPr>
            <w:r>
              <w:rPr>
                <w:sz w:val="16"/>
                <w:szCs w:val="16"/>
              </w:rPr>
              <w:t>0.18</w:t>
            </w:r>
          </w:p>
        </w:tc>
        <w:tc>
          <w:tcPr>
            <w:tcW w:w="2481" w:type="dxa"/>
          </w:tcPr>
          <w:p w14:paraId="7915F56F" w14:textId="474F4244" w:rsidR="007942A6" w:rsidRPr="002434EF" w:rsidRDefault="002434EF" w:rsidP="00B24878">
            <w:pPr>
              <w:pStyle w:val="BodyText"/>
              <w:spacing w:after="0"/>
              <w:jc w:val="center"/>
              <w:rPr>
                <w:sz w:val="16"/>
                <w:szCs w:val="16"/>
              </w:rPr>
            </w:pPr>
            <w:r>
              <w:rPr>
                <w:sz w:val="16"/>
                <w:szCs w:val="16"/>
              </w:rPr>
              <w:t>0.27</w:t>
            </w:r>
          </w:p>
        </w:tc>
        <w:tc>
          <w:tcPr>
            <w:tcW w:w="2481" w:type="dxa"/>
          </w:tcPr>
          <w:p w14:paraId="5A75A3E6" w14:textId="62648C78" w:rsidR="007942A6" w:rsidRPr="002434EF" w:rsidRDefault="002434EF" w:rsidP="00B24878">
            <w:pPr>
              <w:pStyle w:val="BodyText"/>
              <w:spacing w:after="0"/>
              <w:jc w:val="center"/>
              <w:rPr>
                <w:sz w:val="16"/>
                <w:szCs w:val="16"/>
              </w:rPr>
            </w:pPr>
            <w:r>
              <w:rPr>
                <w:sz w:val="16"/>
                <w:szCs w:val="16"/>
              </w:rPr>
              <w:t>0.19</w:t>
            </w:r>
          </w:p>
        </w:tc>
      </w:tr>
      <w:tr w:rsidR="007942A6" w:rsidRPr="006C1E9B" w14:paraId="10C389E8" w14:textId="77777777" w:rsidTr="00B24878">
        <w:trPr>
          <w:cnfStyle w:val="000000010000" w:firstRow="0" w:lastRow="0" w:firstColumn="0" w:lastColumn="0" w:oddVBand="0" w:evenVBand="0" w:oddHBand="0" w:evenHBand="1" w:firstRowFirstColumn="0" w:firstRowLastColumn="0" w:lastRowFirstColumn="0" w:lastRowLastColumn="0"/>
        </w:trPr>
        <w:tc>
          <w:tcPr>
            <w:tcW w:w="2480" w:type="dxa"/>
          </w:tcPr>
          <w:p w14:paraId="0205AE54" w14:textId="77777777" w:rsidR="007942A6" w:rsidRPr="007F4127" w:rsidRDefault="007942A6" w:rsidP="00B24878">
            <w:pPr>
              <w:pStyle w:val="BodyText"/>
              <w:spacing w:after="0"/>
              <w:jc w:val="left"/>
              <w:rPr>
                <w:b/>
                <w:sz w:val="16"/>
              </w:rPr>
            </w:pPr>
            <w:r w:rsidRPr="007F4127">
              <w:rPr>
                <w:b/>
                <w:sz w:val="16"/>
              </w:rPr>
              <w:t>Summary of the resolution</w:t>
            </w:r>
          </w:p>
        </w:tc>
        <w:tc>
          <w:tcPr>
            <w:tcW w:w="2481" w:type="dxa"/>
          </w:tcPr>
          <w:p w14:paraId="2EFD7667" w14:textId="13E9DB06" w:rsidR="007942A6" w:rsidRPr="002434EF" w:rsidRDefault="002434EF" w:rsidP="00B24878">
            <w:pPr>
              <w:pStyle w:val="BodyText"/>
              <w:spacing w:after="0"/>
              <w:jc w:val="center"/>
              <w:rPr>
                <w:sz w:val="16"/>
                <w:szCs w:val="16"/>
              </w:rPr>
            </w:pPr>
            <w:r>
              <w:rPr>
                <w:sz w:val="16"/>
                <w:szCs w:val="16"/>
              </w:rPr>
              <w:t>Incentive plan</w:t>
            </w:r>
          </w:p>
        </w:tc>
        <w:tc>
          <w:tcPr>
            <w:tcW w:w="2481" w:type="dxa"/>
          </w:tcPr>
          <w:p w14:paraId="4CB41580" w14:textId="53DD3BBC" w:rsidR="007942A6" w:rsidRPr="002434EF" w:rsidRDefault="002434EF" w:rsidP="00B24878">
            <w:pPr>
              <w:pStyle w:val="BodyText"/>
              <w:spacing w:after="0"/>
              <w:jc w:val="center"/>
              <w:rPr>
                <w:sz w:val="16"/>
                <w:szCs w:val="16"/>
              </w:rPr>
            </w:pPr>
            <w:r>
              <w:rPr>
                <w:sz w:val="16"/>
                <w:szCs w:val="16"/>
              </w:rPr>
              <w:t>Remuneration - Report</w:t>
            </w:r>
          </w:p>
        </w:tc>
        <w:tc>
          <w:tcPr>
            <w:tcW w:w="2481" w:type="dxa"/>
          </w:tcPr>
          <w:p w14:paraId="33A9B64D" w14:textId="5704DF43" w:rsidR="007942A6" w:rsidRPr="002434EF" w:rsidRDefault="00B24878" w:rsidP="00B24878">
            <w:pPr>
              <w:pStyle w:val="BodyText"/>
              <w:spacing w:after="0"/>
              <w:jc w:val="center"/>
              <w:rPr>
                <w:sz w:val="16"/>
                <w:szCs w:val="16"/>
              </w:rPr>
            </w:pPr>
            <w:r>
              <w:rPr>
                <w:sz w:val="16"/>
                <w:szCs w:val="16"/>
              </w:rPr>
              <w:t>Shareholder resolution - Climate</w:t>
            </w:r>
          </w:p>
        </w:tc>
      </w:tr>
      <w:tr w:rsidR="007942A6" w:rsidRPr="006C1E9B" w14:paraId="0C341C77" w14:textId="77777777" w:rsidTr="00B24878">
        <w:trPr>
          <w:cnfStyle w:val="000000100000" w:firstRow="0" w:lastRow="0" w:firstColumn="0" w:lastColumn="0" w:oddVBand="0" w:evenVBand="0" w:oddHBand="1" w:evenHBand="0" w:firstRowFirstColumn="0" w:firstRowLastColumn="0" w:lastRowFirstColumn="0" w:lastRowLastColumn="0"/>
        </w:trPr>
        <w:tc>
          <w:tcPr>
            <w:tcW w:w="2480" w:type="dxa"/>
          </w:tcPr>
          <w:p w14:paraId="388E4C45" w14:textId="77777777" w:rsidR="007942A6" w:rsidRPr="007F4127" w:rsidRDefault="007942A6" w:rsidP="00B24878">
            <w:pPr>
              <w:pStyle w:val="BodyText"/>
              <w:spacing w:after="0"/>
              <w:jc w:val="left"/>
              <w:rPr>
                <w:b/>
                <w:sz w:val="16"/>
              </w:rPr>
            </w:pPr>
            <w:r w:rsidRPr="007F4127">
              <w:rPr>
                <w:b/>
                <w:sz w:val="16"/>
              </w:rPr>
              <w:t xml:space="preserve">How </w:t>
            </w:r>
            <w:r>
              <w:rPr>
                <w:b/>
                <w:sz w:val="16"/>
              </w:rPr>
              <w:t>the manager voted</w:t>
            </w:r>
          </w:p>
        </w:tc>
        <w:tc>
          <w:tcPr>
            <w:tcW w:w="2481" w:type="dxa"/>
          </w:tcPr>
          <w:p w14:paraId="4610B561" w14:textId="018DBD04" w:rsidR="007942A6" w:rsidRPr="002434EF" w:rsidRDefault="00B24878" w:rsidP="00B24878">
            <w:pPr>
              <w:pStyle w:val="BodyText"/>
              <w:spacing w:after="0"/>
              <w:jc w:val="center"/>
              <w:rPr>
                <w:sz w:val="16"/>
                <w:szCs w:val="16"/>
              </w:rPr>
            </w:pPr>
            <w:r>
              <w:rPr>
                <w:sz w:val="16"/>
                <w:szCs w:val="16"/>
              </w:rPr>
              <w:t>Against</w:t>
            </w:r>
          </w:p>
        </w:tc>
        <w:tc>
          <w:tcPr>
            <w:tcW w:w="2481" w:type="dxa"/>
          </w:tcPr>
          <w:p w14:paraId="0A0B1A91" w14:textId="6F474D14" w:rsidR="007942A6" w:rsidRPr="002434EF" w:rsidRDefault="00B24878" w:rsidP="00B24878">
            <w:pPr>
              <w:pStyle w:val="BodyText"/>
              <w:spacing w:after="0"/>
              <w:jc w:val="center"/>
              <w:rPr>
                <w:sz w:val="16"/>
                <w:szCs w:val="16"/>
              </w:rPr>
            </w:pPr>
            <w:r>
              <w:rPr>
                <w:sz w:val="16"/>
                <w:szCs w:val="16"/>
              </w:rPr>
              <w:t>Against</w:t>
            </w:r>
          </w:p>
        </w:tc>
        <w:tc>
          <w:tcPr>
            <w:tcW w:w="2481" w:type="dxa"/>
          </w:tcPr>
          <w:p w14:paraId="6706D55C" w14:textId="319C706F" w:rsidR="007942A6" w:rsidRPr="002434EF" w:rsidRDefault="00B24878" w:rsidP="00B24878">
            <w:pPr>
              <w:pStyle w:val="BodyText"/>
              <w:spacing w:after="0"/>
              <w:jc w:val="center"/>
              <w:rPr>
                <w:sz w:val="16"/>
                <w:szCs w:val="16"/>
              </w:rPr>
            </w:pPr>
            <w:r>
              <w:rPr>
                <w:sz w:val="16"/>
                <w:szCs w:val="16"/>
              </w:rPr>
              <w:t>For</w:t>
            </w:r>
          </w:p>
        </w:tc>
      </w:tr>
      <w:tr w:rsidR="007942A6" w:rsidRPr="006C1E9B" w14:paraId="1E3865AF" w14:textId="77777777" w:rsidTr="00B24878">
        <w:trPr>
          <w:cnfStyle w:val="000000010000" w:firstRow="0" w:lastRow="0" w:firstColumn="0" w:lastColumn="0" w:oddVBand="0" w:evenVBand="0" w:oddHBand="0" w:evenHBand="1" w:firstRowFirstColumn="0" w:firstRowLastColumn="0" w:lastRowFirstColumn="0" w:lastRowLastColumn="0"/>
        </w:trPr>
        <w:tc>
          <w:tcPr>
            <w:tcW w:w="2480" w:type="dxa"/>
          </w:tcPr>
          <w:p w14:paraId="4634C63D" w14:textId="77777777" w:rsidR="007942A6" w:rsidRPr="007F4127" w:rsidRDefault="007942A6" w:rsidP="00B24878">
            <w:pPr>
              <w:pStyle w:val="BodyText"/>
              <w:spacing w:after="0"/>
              <w:jc w:val="left"/>
              <w:rPr>
                <w:b/>
                <w:sz w:val="16"/>
              </w:rPr>
            </w:pPr>
            <w:r>
              <w:rPr>
                <w:b/>
                <w:sz w:val="16"/>
              </w:rPr>
              <w:t xml:space="preserve">If the vote was against management, did the manager </w:t>
            </w:r>
            <w:r w:rsidRPr="007F4127">
              <w:rPr>
                <w:b/>
                <w:sz w:val="16"/>
              </w:rPr>
              <w:t xml:space="preserve">communicate </w:t>
            </w:r>
            <w:r>
              <w:rPr>
                <w:b/>
                <w:sz w:val="16"/>
              </w:rPr>
              <w:t>their</w:t>
            </w:r>
            <w:r w:rsidRPr="007F4127">
              <w:rPr>
                <w:b/>
                <w:sz w:val="16"/>
              </w:rPr>
              <w:t xml:space="preserve"> intent to the company ahead of the vote?</w:t>
            </w:r>
          </w:p>
        </w:tc>
        <w:tc>
          <w:tcPr>
            <w:tcW w:w="2481" w:type="dxa"/>
          </w:tcPr>
          <w:p w14:paraId="71A5F729" w14:textId="70B2DD78" w:rsidR="007942A6" w:rsidRPr="002434EF" w:rsidRDefault="00B24878" w:rsidP="00B24878">
            <w:pPr>
              <w:pStyle w:val="BodyText"/>
              <w:spacing w:after="0"/>
              <w:jc w:val="center"/>
              <w:rPr>
                <w:sz w:val="16"/>
                <w:szCs w:val="16"/>
              </w:rPr>
            </w:pPr>
            <w:r>
              <w:rPr>
                <w:sz w:val="16"/>
                <w:szCs w:val="16"/>
              </w:rPr>
              <w:t>No</w:t>
            </w:r>
          </w:p>
        </w:tc>
        <w:tc>
          <w:tcPr>
            <w:tcW w:w="2481" w:type="dxa"/>
          </w:tcPr>
          <w:p w14:paraId="0707DA68" w14:textId="195CE0C9" w:rsidR="007942A6" w:rsidRPr="002434EF" w:rsidRDefault="00B24878" w:rsidP="00B24878">
            <w:pPr>
              <w:pStyle w:val="BodyText"/>
              <w:spacing w:after="0"/>
              <w:jc w:val="center"/>
              <w:rPr>
                <w:sz w:val="16"/>
                <w:szCs w:val="16"/>
              </w:rPr>
            </w:pPr>
            <w:r>
              <w:rPr>
                <w:sz w:val="16"/>
                <w:szCs w:val="16"/>
              </w:rPr>
              <w:t>No</w:t>
            </w:r>
          </w:p>
        </w:tc>
        <w:tc>
          <w:tcPr>
            <w:tcW w:w="2481" w:type="dxa"/>
          </w:tcPr>
          <w:p w14:paraId="53527AA8" w14:textId="65AE42DF" w:rsidR="007942A6" w:rsidRPr="002434EF" w:rsidRDefault="00B24878" w:rsidP="00B24878">
            <w:pPr>
              <w:pStyle w:val="BodyText"/>
              <w:spacing w:after="0"/>
              <w:jc w:val="center"/>
              <w:rPr>
                <w:sz w:val="16"/>
                <w:szCs w:val="16"/>
              </w:rPr>
            </w:pPr>
            <w:r>
              <w:rPr>
                <w:sz w:val="16"/>
                <w:szCs w:val="16"/>
              </w:rPr>
              <w:t>Yes</w:t>
            </w:r>
          </w:p>
        </w:tc>
      </w:tr>
      <w:tr w:rsidR="007942A6" w:rsidRPr="006C1E9B" w14:paraId="1BAD9054" w14:textId="77777777" w:rsidTr="003A4534">
        <w:trPr>
          <w:cnfStyle w:val="000000100000" w:firstRow="0" w:lastRow="0" w:firstColumn="0" w:lastColumn="0" w:oddVBand="0" w:evenVBand="0" w:oddHBand="1" w:evenHBand="0" w:firstRowFirstColumn="0" w:firstRowLastColumn="0" w:lastRowFirstColumn="0" w:lastRowLastColumn="0"/>
        </w:trPr>
        <w:tc>
          <w:tcPr>
            <w:tcW w:w="2480" w:type="dxa"/>
          </w:tcPr>
          <w:p w14:paraId="74A1BE91" w14:textId="77777777" w:rsidR="007942A6" w:rsidRPr="007F4127" w:rsidRDefault="007942A6" w:rsidP="00B24878">
            <w:pPr>
              <w:pStyle w:val="BodyText"/>
              <w:spacing w:after="0"/>
              <w:jc w:val="left"/>
              <w:rPr>
                <w:b/>
                <w:sz w:val="16"/>
              </w:rPr>
            </w:pPr>
            <w:r w:rsidRPr="007F4127">
              <w:rPr>
                <w:b/>
                <w:sz w:val="16"/>
              </w:rPr>
              <w:t>Rationale for the voting decision</w:t>
            </w:r>
          </w:p>
        </w:tc>
        <w:tc>
          <w:tcPr>
            <w:tcW w:w="2481" w:type="dxa"/>
            <w:vAlign w:val="top"/>
          </w:tcPr>
          <w:p w14:paraId="7C18B244" w14:textId="6D61E565" w:rsidR="007942A6" w:rsidRPr="002434EF" w:rsidRDefault="00B24878" w:rsidP="007942A6">
            <w:pPr>
              <w:pStyle w:val="BodyText"/>
              <w:spacing w:after="0"/>
              <w:jc w:val="center"/>
              <w:rPr>
                <w:sz w:val="16"/>
                <w:szCs w:val="16"/>
              </w:rPr>
            </w:pPr>
            <w:r>
              <w:rPr>
                <w:sz w:val="16"/>
                <w:szCs w:val="16"/>
              </w:rPr>
              <w:t>Baillie Gifford</w:t>
            </w:r>
            <w:r w:rsidRPr="00B24878">
              <w:rPr>
                <w:sz w:val="16"/>
                <w:szCs w:val="16"/>
              </w:rPr>
              <w:t xml:space="preserve"> opposed the Share Option Scheme due to poor disclosure, and the potential conflict of having the plan administrators eligible to participate in the plan. In addition</w:t>
            </w:r>
            <w:r>
              <w:rPr>
                <w:sz w:val="16"/>
                <w:szCs w:val="16"/>
              </w:rPr>
              <w:t xml:space="preserve">, Baillie Gifford </w:t>
            </w:r>
            <w:r w:rsidRPr="00B24878">
              <w:rPr>
                <w:sz w:val="16"/>
                <w:szCs w:val="16"/>
              </w:rPr>
              <w:t>felt the level of dilution was not in the interests of shareholders.</w:t>
            </w:r>
          </w:p>
        </w:tc>
        <w:tc>
          <w:tcPr>
            <w:tcW w:w="2481" w:type="dxa"/>
            <w:vAlign w:val="top"/>
          </w:tcPr>
          <w:p w14:paraId="5A7BC2A1" w14:textId="47FEEF75" w:rsidR="007942A6" w:rsidRPr="002434EF" w:rsidRDefault="00B24878" w:rsidP="007942A6">
            <w:pPr>
              <w:pStyle w:val="BodyText"/>
              <w:spacing w:after="0"/>
              <w:jc w:val="center"/>
              <w:rPr>
                <w:sz w:val="16"/>
                <w:szCs w:val="16"/>
              </w:rPr>
            </w:pPr>
            <w:r>
              <w:rPr>
                <w:sz w:val="16"/>
                <w:szCs w:val="16"/>
              </w:rPr>
              <w:t>Baillie Gifford</w:t>
            </w:r>
            <w:r w:rsidRPr="00B24878">
              <w:rPr>
                <w:sz w:val="16"/>
                <w:szCs w:val="16"/>
              </w:rPr>
              <w:t xml:space="preserve"> opposed the resolution to approve the Remuneration Report because of the Remuneration Committee's decision not to align executive directors' pensions with the workforce until four years after the Investment Association's guidance.</w:t>
            </w:r>
          </w:p>
        </w:tc>
        <w:tc>
          <w:tcPr>
            <w:tcW w:w="2481" w:type="dxa"/>
            <w:vAlign w:val="top"/>
          </w:tcPr>
          <w:p w14:paraId="58E671EE" w14:textId="34D9002F" w:rsidR="007942A6" w:rsidRPr="002434EF" w:rsidRDefault="00B24878" w:rsidP="007942A6">
            <w:pPr>
              <w:pStyle w:val="BodyText"/>
              <w:spacing w:after="0"/>
              <w:jc w:val="center"/>
              <w:rPr>
                <w:sz w:val="16"/>
                <w:szCs w:val="16"/>
              </w:rPr>
            </w:pPr>
            <w:r>
              <w:rPr>
                <w:sz w:val="16"/>
                <w:szCs w:val="16"/>
              </w:rPr>
              <w:t xml:space="preserve">Baillie Gifford </w:t>
            </w:r>
            <w:r w:rsidRPr="00B24878">
              <w:rPr>
                <w:sz w:val="16"/>
                <w:szCs w:val="16"/>
              </w:rPr>
              <w:t xml:space="preserve">supported a shareholder resolution requesting a climate transition report as </w:t>
            </w:r>
            <w:r>
              <w:rPr>
                <w:sz w:val="16"/>
                <w:szCs w:val="16"/>
              </w:rPr>
              <w:t>they</w:t>
            </w:r>
            <w:r w:rsidRPr="00B24878">
              <w:rPr>
                <w:sz w:val="16"/>
                <w:szCs w:val="16"/>
              </w:rPr>
              <w:t xml:space="preserve"> believe better disclosure is in </w:t>
            </w:r>
            <w:r w:rsidR="00EA5A27" w:rsidRPr="00B24878">
              <w:rPr>
                <w:sz w:val="16"/>
                <w:szCs w:val="16"/>
              </w:rPr>
              <w:t>shareholders’</w:t>
            </w:r>
            <w:r w:rsidRPr="00B24878">
              <w:rPr>
                <w:sz w:val="16"/>
                <w:szCs w:val="16"/>
              </w:rPr>
              <w:t xml:space="preserve"> best interests.</w:t>
            </w:r>
          </w:p>
        </w:tc>
      </w:tr>
      <w:tr w:rsidR="007942A6" w:rsidRPr="006C1E9B" w14:paraId="15E49F82" w14:textId="77777777" w:rsidTr="003A4534">
        <w:trPr>
          <w:cnfStyle w:val="000000010000" w:firstRow="0" w:lastRow="0" w:firstColumn="0" w:lastColumn="0" w:oddVBand="0" w:evenVBand="0" w:oddHBand="0" w:evenHBand="1" w:firstRowFirstColumn="0" w:firstRowLastColumn="0" w:lastRowFirstColumn="0" w:lastRowLastColumn="0"/>
        </w:trPr>
        <w:tc>
          <w:tcPr>
            <w:tcW w:w="2480" w:type="dxa"/>
          </w:tcPr>
          <w:p w14:paraId="6C86AA53" w14:textId="77777777" w:rsidR="007942A6" w:rsidRPr="007F4127" w:rsidRDefault="007942A6" w:rsidP="00B24878">
            <w:pPr>
              <w:pStyle w:val="BodyText"/>
              <w:spacing w:after="0"/>
              <w:jc w:val="left"/>
              <w:rPr>
                <w:b/>
                <w:sz w:val="16"/>
              </w:rPr>
            </w:pPr>
            <w:r w:rsidRPr="007F4127">
              <w:rPr>
                <w:b/>
                <w:sz w:val="16"/>
              </w:rPr>
              <w:lastRenderedPageBreak/>
              <w:t>Outcome of the vote</w:t>
            </w:r>
          </w:p>
        </w:tc>
        <w:tc>
          <w:tcPr>
            <w:tcW w:w="2481" w:type="dxa"/>
            <w:vAlign w:val="top"/>
          </w:tcPr>
          <w:p w14:paraId="05411AC2" w14:textId="0FEE9D33" w:rsidR="007942A6" w:rsidRPr="002434EF" w:rsidRDefault="00B24878" w:rsidP="007942A6">
            <w:pPr>
              <w:pStyle w:val="BodyText"/>
              <w:spacing w:after="0"/>
              <w:jc w:val="center"/>
              <w:rPr>
                <w:sz w:val="16"/>
                <w:szCs w:val="16"/>
              </w:rPr>
            </w:pPr>
            <w:r>
              <w:rPr>
                <w:sz w:val="16"/>
                <w:szCs w:val="16"/>
              </w:rPr>
              <w:t>Pass</w:t>
            </w:r>
          </w:p>
        </w:tc>
        <w:tc>
          <w:tcPr>
            <w:tcW w:w="2481" w:type="dxa"/>
            <w:vAlign w:val="top"/>
          </w:tcPr>
          <w:p w14:paraId="2DAC2778" w14:textId="44F15E7A" w:rsidR="007942A6" w:rsidRPr="002434EF" w:rsidRDefault="00B24878" w:rsidP="007942A6">
            <w:pPr>
              <w:pStyle w:val="BodyText"/>
              <w:spacing w:after="0"/>
              <w:jc w:val="center"/>
              <w:rPr>
                <w:sz w:val="16"/>
                <w:szCs w:val="16"/>
              </w:rPr>
            </w:pPr>
            <w:r>
              <w:rPr>
                <w:sz w:val="16"/>
                <w:szCs w:val="16"/>
              </w:rPr>
              <w:t>Pass</w:t>
            </w:r>
          </w:p>
        </w:tc>
        <w:tc>
          <w:tcPr>
            <w:tcW w:w="2481" w:type="dxa"/>
            <w:vAlign w:val="top"/>
          </w:tcPr>
          <w:p w14:paraId="4072F9C4" w14:textId="095D09D2" w:rsidR="007942A6" w:rsidRPr="002434EF" w:rsidRDefault="00B24878" w:rsidP="007942A6">
            <w:pPr>
              <w:pStyle w:val="BodyText"/>
              <w:spacing w:after="0"/>
              <w:jc w:val="center"/>
              <w:rPr>
                <w:sz w:val="16"/>
                <w:szCs w:val="16"/>
              </w:rPr>
            </w:pPr>
            <w:r>
              <w:rPr>
                <w:sz w:val="16"/>
                <w:szCs w:val="16"/>
              </w:rPr>
              <w:t>Pass</w:t>
            </w:r>
          </w:p>
        </w:tc>
      </w:tr>
      <w:tr w:rsidR="007942A6" w:rsidRPr="006C1E9B" w14:paraId="3922DF3B" w14:textId="77777777" w:rsidTr="003A4534">
        <w:trPr>
          <w:cnfStyle w:val="000000100000" w:firstRow="0" w:lastRow="0" w:firstColumn="0" w:lastColumn="0" w:oddVBand="0" w:evenVBand="0" w:oddHBand="1" w:evenHBand="0" w:firstRowFirstColumn="0" w:firstRowLastColumn="0" w:lastRowFirstColumn="0" w:lastRowLastColumn="0"/>
        </w:trPr>
        <w:tc>
          <w:tcPr>
            <w:tcW w:w="2480" w:type="dxa"/>
          </w:tcPr>
          <w:p w14:paraId="7EC806C1" w14:textId="77777777" w:rsidR="007942A6" w:rsidRPr="007F4127" w:rsidRDefault="007942A6" w:rsidP="00B24878">
            <w:pPr>
              <w:pStyle w:val="BodyText"/>
              <w:spacing w:after="0"/>
              <w:jc w:val="left"/>
              <w:rPr>
                <w:b/>
                <w:sz w:val="16"/>
              </w:rPr>
            </w:pPr>
            <w:r>
              <w:rPr>
                <w:b/>
                <w:sz w:val="16"/>
              </w:rPr>
              <w:t>Implications of the outcome</w:t>
            </w:r>
          </w:p>
        </w:tc>
        <w:tc>
          <w:tcPr>
            <w:tcW w:w="2481" w:type="dxa"/>
            <w:vAlign w:val="top"/>
          </w:tcPr>
          <w:p w14:paraId="5AB813B8" w14:textId="2F1F74B8" w:rsidR="007942A6" w:rsidRPr="002434EF" w:rsidRDefault="00EA5A27" w:rsidP="007942A6">
            <w:pPr>
              <w:pStyle w:val="BodyText"/>
              <w:spacing w:after="0"/>
              <w:jc w:val="center"/>
              <w:rPr>
                <w:sz w:val="16"/>
                <w:szCs w:val="16"/>
              </w:rPr>
            </w:pPr>
            <w:r>
              <w:rPr>
                <w:sz w:val="16"/>
                <w:szCs w:val="16"/>
              </w:rPr>
              <w:t xml:space="preserve">Baillie Gifford </w:t>
            </w:r>
            <w:r w:rsidRPr="00EA5A27">
              <w:rPr>
                <w:sz w:val="16"/>
                <w:szCs w:val="16"/>
              </w:rPr>
              <w:t xml:space="preserve">will continue </w:t>
            </w:r>
            <w:r>
              <w:rPr>
                <w:sz w:val="16"/>
                <w:szCs w:val="16"/>
              </w:rPr>
              <w:t xml:space="preserve">express their concerns to the </w:t>
            </w:r>
            <w:r w:rsidRPr="00EA5A27">
              <w:rPr>
                <w:sz w:val="16"/>
                <w:szCs w:val="16"/>
              </w:rPr>
              <w:t xml:space="preserve">company </w:t>
            </w:r>
            <w:r>
              <w:rPr>
                <w:sz w:val="16"/>
                <w:szCs w:val="16"/>
              </w:rPr>
              <w:t>and</w:t>
            </w:r>
            <w:r w:rsidRPr="00EA5A27">
              <w:rPr>
                <w:sz w:val="16"/>
                <w:szCs w:val="16"/>
              </w:rPr>
              <w:t xml:space="preserve"> seek to obtain proposals that </w:t>
            </w:r>
            <w:r>
              <w:rPr>
                <w:sz w:val="16"/>
                <w:szCs w:val="16"/>
              </w:rPr>
              <w:t xml:space="preserve">they </w:t>
            </w:r>
            <w:r w:rsidRPr="00EA5A27">
              <w:rPr>
                <w:sz w:val="16"/>
                <w:szCs w:val="16"/>
              </w:rPr>
              <w:t>can support.</w:t>
            </w:r>
          </w:p>
        </w:tc>
        <w:tc>
          <w:tcPr>
            <w:tcW w:w="2481" w:type="dxa"/>
            <w:vAlign w:val="top"/>
          </w:tcPr>
          <w:p w14:paraId="62D9728D" w14:textId="3B74CDF7" w:rsidR="007942A6" w:rsidRPr="002434EF" w:rsidRDefault="00EA5A27" w:rsidP="007942A6">
            <w:pPr>
              <w:pStyle w:val="BodyText"/>
              <w:spacing w:after="0"/>
              <w:jc w:val="center"/>
              <w:rPr>
                <w:sz w:val="16"/>
                <w:szCs w:val="16"/>
              </w:rPr>
            </w:pPr>
            <w:r w:rsidRPr="00EA5A27">
              <w:rPr>
                <w:sz w:val="16"/>
                <w:szCs w:val="16"/>
              </w:rPr>
              <w:t>Following the submis</w:t>
            </w:r>
            <w:r>
              <w:rPr>
                <w:sz w:val="16"/>
                <w:szCs w:val="16"/>
              </w:rPr>
              <w:t>s</w:t>
            </w:r>
            <w:r w:rsidRPr="00EA5A27">
              <w:rPr>
                <w:sz w:val="16"/>
                <w:szCs w:val="16"/>
              </w:rPr>
              <w:t xml:space="preserve">ion of </w:t>
            </w:r>
            <w:r>
              <w:rPr>
                <w:sz w:val="16"/>
                <w:szCs w:val="16"/>
              </w:rPr>
              <w:t xml:space="preserve">their </w:t>
            </w:r>
            <w:r w:rsidRPr="00EA5A27">
              <w:rPr>
                <w:sz w:val="16"/>
                <w:szCs w:val="16"/>
              </w:rPr>
              <w:t>votes</w:t>
            </w:r>
            <w:r>
              <w:rPr>
                <w:sz w:val="16"/>
                <w:szCs w:val="16"/>
              </w:rPr>
              <w:t>,</w:t>
            </w:r>
            <w:r w:rsidRPr="00EA5A27">
              <w:rPr>
                <w:sz w:val="16"/>
                <w:szCs w:val="16"/>
              </w:rPr>
              <w:t xml:space="preserve"> </w:t>
            </w:r>
            <w:r>
              <w:rPr>
                <w:sz w:val="16"/>
                <w:szCs w:val="16"/>
              </w:rPr>
              <w:t xml:space="preserve">Baillie Gifford </w:t>
            </w:r>
            <w:r w:rsidRPr="00EA5A27">
              <w:rPr>
                <w:sz w:val="16"/>
                <w:szCs w:val="16"/>
              </w:rPr>
              <w:t xml:space="preserve">communicated </w:t>
            </w:r>
            <w:r w:rsidR="00963D2C">
              <w:rPr>
                <w:sz w:val="16"/>
                <w:szCs w:val="16"/>
              </w:rPr>
              <w:t xml:space="preserve">their </w:t>
            </w:r>
            <w:r w:rsidRPr="00EA5A27">
              <w:rPr>
                <w:sz w:val="16"/>
                <w:szCs w:val="16"/>
              </w:rPr>
              <w:t>concerns to the company who acknowledged</w:t>
            </w:r>
            <w:r w:rsidR="00963D2C">
              <w:rPr>
                <w:sz w:val="16"/>
                <w:szCs w:val="16"/>
              </w:rPr>
              <w:t xml:space="preserve"> their</w:t>
            </w:r>
            <w:r w:rsidRPr="00EA5A27">
              <w:rPr>
                <w:sz w:val="16"/>
                <w:szCs w:val="16"/>
              </w:rPr>
              <w:t xml:space="preserve"> concerns and stated that they would review pension alignment at their next remuneration policy review, ahead of the 2023 AGM. </w:t>
            </w:r>
            <w:r>
              <w:rPr>
                <w:sz w:val="16"/>
                <w:szCs w:val="16"/>
              </w:rPr>
              <w:t>Baillie Gifford will</w:t>
            </w:r>
            <w:r w:rsidRPr="00EA5A27">
              <w:rPr>
                <w:sz w:val="16"/>
                <w:szCs w:val="16"/>
              </w:rPr>
              <w:t xml:space="preserve"> continue to engage on this issue.</w:t>
            </w:r>
          </w:p>
        </w:tc>
        <w:tc>
          <w:tcPr>
            <w:tcW w:w="2481" w:type="dxa"/>
            <w:vAlign w:val="top"/>
          </w:tcPr>
          <w:p w14:paraId="4B0C7CF7" w14:textId="57221FCD" w:rsidR="007942A6" w:rsidRPr="002434EF" w:rsidRDefault="00FE7F7B" w:rsidP="007942A6">
            <w:pPr>
              <w:pStyle w:val="BodyText"/>
              <w:spacing w:after="0"/>
              <w:jc w:val="center"/>
              <w:rPr>
                <w:sz w:val="16"/>
                <w:szCs w:val="16"/>
              </w:rPr>
            </w:pPr>
            <w:r w:rsidRPr="00FE7F7B">
              <w:rPr>
                <w:sz w:val="16"/>
                <w:szCs w:val="16"/>
              </w:rPr>
              <w:t xml:space="preserve">While </w:t>
            </w:r>
            <w:r>
              <w:rPr>
                <w:sz w:val="16"/>
                <w:szCs w:val="16"/>
              </w:rPr>
              <w:t>Baillie Gifford</w:t>
            </w:r>
            <w:r w:rsidRPr="00FE7F7B">
              <w:rPr>
                <w:sz w:val="16"/>
                <w:szCs w:val="16"/>
              </w:rPr>
              <w:t xml:space="preserve"> are encouraged by the company's progress on this issue, </w:t>
            </w:r>
            <w:r>
              <w:rPr>
                <w:sz w:val="16"/>
                <w:szCs w:val="16"/>
              </w:rPr>
              <w:t>they</w:t>
            </w:r>
            <w:r w:rsidRPr="00FE7F7B">
              <w:rPr>
                <w:sz w:val="16"/>
                <w:szCs w:val="16"/>
              </w:rPr>
              <w:t xml:space="preserve"> would like to see the company go further than its current reporting and plans. </w:t>
            </w:r>
            <w:r>
              <w:rPr>
                <w:sz w:val="16"/>
                <w:szCs w:val="16"/>
              </w:rPr>
              <w:t>Baillie Gifford</w:t>
            </w:r>
            <w:r w:rsidRPr="00FE7F7B">
              <w:rPr>
                <w:sz w:val="16"/>
                <w:szCs w:val="16"/>
              </w:rPr>
              <w:t xml:space="preserve"> would like to see targets to reduce emissions, rather than only focussing on offsetting, and long-term scenario planning on transition risk. </w:t>
            </w:r>
            <w:r>
              <w:rPr>
                <w:sz w:val="16"/>
                <w:szCs w:val="16"/>
              </w:rPr>
              <w:t>Baillie Gifford</w:t>
            </w:r>
            <w:r w:rsidRPr="00FE7F7B">
              <w:rPr>
                <w:sz w:val="16"/>
                <w:szCs w:val="16"/>
              </w:rPr>
              <w:t xml:space="preserve"> will continue to monitor this topic in </w:t>
            </w:r>
            <w:r>
              <w:rPr>
                <w:sz w:val="16"/>
                <w:szCs w:val="16"/>
              </w:rPr>
              <w:t xml:space="preserve">their </w:t>
            </w:r>
            <w:r w:rsidRPr="00FE7F7B">
              <w:rPr>
                <w:sz w:val="16"/>
                <w:szCs w:val="16"/>
              </w:rPr>
              <w:t>discussions with the company.</w:t>
            </w:r>
          </w:p>
        </w:tc>
      </w:tr>
      <w:tr w:rsidR="007942A6" w:rsidRPr="006C1E9B" w14:paraId="32515815" w14:textId="77777777" w:rsidTr="003A4534">
        <w:trPr>
          <w:cnfStyle w:val="000000010000" w:firstRow="0" w:lastRow="0" w:firstColumn="0" w:lastColumn="0" w:oddVBand="0" w:evenVBand="0" w:oddHBand="0" w:evenHBand="1" w:firstRowFirstColumn="0" w:firstRowLastColumn="0" w:lastRowFirstColumn="0" w:lastRowLastColumn="0"/>
        </w:trPr>
        <w:tc>
          <w:tcPr>
            <w:tcW w:w="2480" w:type="dxa"/>
          </w:tcPr>
          <w:p w14:paraId="09DAA990" w14:textId="77777777" w:rsidR="007942A6" w:rsidRPr="007F4127" w:rsidRDefault="007942A6" w:rsidP="00B24878">
            <w:pPr>
              <w:pStyle w:val="BodyText"/>
              <w:spacing w:after="0"/>
              <w:jc w:val="left"/>
              <w:rPr>
                <w:b/>
                <w:sz w:val="16"/>
              </w:rPr>
            </w:pPr>
            <w:r>
              <w:rPr>
                <w:b/>
                <w:sz w:val="16"/>
              </w:rPr>
              <w:t xml:space="preserve">Criteria on which the vote is considered “significant” </w:t>
            </w:r>
          </w:p>
        </w:tc>
        <w:tc>
          <w:tcPr>
            <w:tcW w:w="2481" w:type="dxa"/>
            <w:vAlign w:val="top"/>
          </w:tcPr>
          <w:p w14:paraId="24A7A599" w14:textId="1B02651D" w:rsidR="007942A6" w:rsidRPr="002434EF" w:rsidRDefault="00EA5A27" w:rsidP="007942A6">
            <w:pPr>
              <w:pStyle w:val="BodyText"/>
              <w:spacing w:after="0"/>
              <w:jc w:val="center"/>
              <w:rPr>
                <w:sz w:val="16"/>
                <w:szCs w:val="16"/>
              </w:rPr>
            </w:pPr>
            <w:r w:rsidRPr="00EA5A27">
              <w:rPr>
                <w:sz w:val="16"/>
                <w:szCs w:val="16"/>
              </w:rPr>
              <w:t>This resolution is significant because it received greater than 20% opposition.</w:t>
            </w:r>
          </w:p>
        </w:tc>
        <w:tc>
          <w:tcPr>
            <w:tcW w:w="2481" w:type="dxa"/>
            <w:vAlign w:val="top"/>
          </w:tcPr>
          <w:p w14:paraId="4E889F78" w14:textId="42DC1EA6" w:rsidR="007942A6" w:rsidRPr="002434EF" w:rsidRDefault="00EA5A27" w:rsidP="007942A6">
            <w:pPr>
              <w:pStyle w:val="BodyText"/>
              <w:spacing w:after="0"/>
              <w:jc w:val="center"/>
              <w:rPr>
                <w:sz w:val="16"/>
                <w:szCs w:val="16"/>
              </w:rPr>
            </w:pPr>
            <w:r w:rsidRPr="00EA5A27">
              <w:rPr>
                <w:sz w:val="16"/>
                <w:szCs w:val="16"/>
              </w:rPr>
              <w:t xml:space="preserve">This resolution is significant because </w:t>
            </w:r>
            <w:r>
              <w:rPr>
                <w:sz w:val="16"/>
                <w:szCs w:val="16"/>
              </w:rPr>
              <w:t>Baillie Gifford</w:t>
            </w:r>
            <w:r w:rsidRPr="00EA5A27">
              <w:rPr>
                <w:sz w:val="16"/>
                <w:szCs w:val="16"/>
              </w:rPr>
              <w:t xml:space="preserve"> opposed remuneration.</w:t>
            </w:r>
          </w:p>
        </w:tc>
        <w:tc>
          <w:tcPr>
            <w:tcW w:w="2481" w:type="dxa"/>
            <w:vAlign w:val="top"/>
          </w:tcPr>
          <w:p w14:paraId="6A5AA3F8" w14:textId="03193563" w:rsidR="007942A6" w:rsidRPr="002434EF" w:rsidRDefault="00FE7F7B" w:rsidP="007942A6">
            <w:pPr>
              <w:pStyle w:val="BodyText"/>
              <w:spacing w:after="0"/>
              <w:jc w:val="center"/>
              <w:rPr>
                <w:sz w:val="16"/>
                <w:szCs w:val="16"/>
              </w:rPr>
            </w:pPr>
            <w:r w:rsidRPr="00FE7F7B">
              <w:rPr>
                <w:sz w:val="16"/>
                <w:szCs w:val="16"/>
              </w:rPr>
              <w:t>This resolution is significant because it was submitted by shareholders and received greater than 20% support.</w:t>
            </w:r>
          </w:p>
        </w:tc>
      </w:tr>
    </w:tbl>
    <w:p w14:paraId="728C0B6F" w14:textId="77777777" w:rsidR="002159F9" w:rsidRDefault="002159F9" w:rsidP="00EC4E7F">
      <w:pPr>
        <w:pStyle w:val="BodyText"/>
        <w:rPr>
          <w:b/>
          <w:color w:val="009FE3" w:themeColor="background2"/>
        </w:rPr>
      </w:pPr>
    </w:p>
    <w:p w14:paraId="2AA303B7" w14:textId="48244C6C" w:rsidR="007F4127" w:rsidRPr="007942A6" w:rsidRDefault="008F456B" w:rsidP="00EC4E7F">
      <w:pPr>
        <w:pStyle w:val="BodyText"/>
        <w:rPr>
          <w:b/>
          <w:color w:val="009FE3" w:themeColor="background2"/>
        </w:rPr>
      </w:pPr>
      <w:r w:rsidRPr="007942A6">
        <w:rPr>
          <w:b/>
          <w:color w:val="009FE3" w:themeColor="background2"/>
        </w:rPr>
        <w:t xml:space="preserve">Baillie Gifford </w:t>
      </w:r>
      <w:r w:rsidR="00812DB6" w:rsidRPr="007942A6">
        <w:rPr>
          <w:b/>
          <w:color w:val="009FE3" w:themeColor="background2"/>
        </w:rPr>
        <w:t xml:space="preserve">Managed </w:t>
      </w:r>
      <w:r w:rsidRPr="007942A6">
        <w:rPr>
          <w:b/>
          <w:color w:val="009FE3" w:themeColor="background2"/>
        </w:rPr>
        <w:t>Fund</w:t>
      </w:r>
    </w:p>
    <w:tbl>
      <w:tblPr>
        <w:tblStyle w:val="bwTable"/>
        <w:tblW w:w="9923" w:type="dxa"/>
        <w:tblLook w:val="04A0" w:firstRow="1" w:lastRow="0" w:firstColumn="1" w:lastColumn="0" w:noHBand="0" w:noVBand="1"/>
      </w:tblPr>
      <w:tblGrid>
        <w:gridCol w:w="2480"/>
        <w:gridCol w:w="2481"/>
        <w:gridCol w:w="2481"/>
        <w:gridCol w:w="2481"/>
      </w:tblGrid>
      <w:tr w:rsidR="007F4127" w:rsidRPr="007F4127" w14:paraId="3AEB7AC2" w14:textId="77777777" w:rsidTr="007F4127">
        <w:trPr>
          <w:cnfStyle w:val="100000000000" w:firstRow="1" w:lastRow="0" w:firstColumn="0" w:lastColumn="0" w:oddVBand="0" w:evenVBand="0" w:oddHBand="0" w:evenHBand="0" w:firstRowFirstColumn="0" w:firstRowLastColumn="0" w:lastRowFirstColumn="0" w:lastRowLastColumn="0"/>
          <w:tblHeader/>
        </w:trPr>
        <w:tc>
          <w:tcPr>
            <w:tcW w:w="2480" w:type="dxa"/>
          </w:tcPr>
          <w:p w14:paraId="49CF6386" w14:textId="7D741650" w:rsidR="007F4127" w:rsidRPr="007F4127" w:rsidRDefault="007F4127" w:rsidP="004B3A31">
            <w:pPr>
              <w:pStyle w:val="BodyText"/>
              <w:spacing w:after="0"/>
              <w:jc w:val="left"/>
              <w:rPr>
                <w:b/>
                <w:sz w:val="16"/>
              </w:rPr>
            </w:pPr>
          </w:p>
        </w:tc>
        <w:tc>
          <w:tcPr>
            <w:tcW w:w="2481" w:type="dxa"/>
          </w:tcPr>
          <w:p w14:paraId="3429E9CA" w14:textId="62E8ED0A" w:rsidR="007F4127" w:rsidRPr="007F4127" w:rsidRDefault="007F4127" w:rsidP="004B3A31">
            <w:pPr>
              <w:pStyle w:val="BodyText"/>
              <w:spacing w:after="0"/>
              <w:jc w:val="center"/>
              <w:rPr>
                <w:b/>
                <w:sz w:val="16"/>
              </w:rPr>
            </w:pPr>
            <w:r w:rsidRPr="007F4127">
              <w:rPr>
                <w:b/>
                <w:sz w:val="16"/>
              </w:rPr>
              <w:t>Vote 1</w:t>
            </w:r>
          </w:p>
        </w:tc>
        <w:tc>
          <w:tcPr>
            <w:tcW w:w="2481" w:type="dxa"/>
          </w:tcPr>
          <w:p w14:paraId="46FAC99E" w14:textId="789C8881" w:rsidR="007F4127" w:rsidRPr="007F4127" w:rsidRDefault="007F4127" w:rsidP="004B3A31">
            <w:pPr>
              <w:pStyle w:val="BodyText"/>
              <w:spacing w:after="0"/>
              <w:jc w:val="center"/>
              <w:rPr>
                <w:b/>
                <w:sz w:val="16"/>
              </w:rPr>
            </w:pPr>
            <w:r w:rsidRPr="007F4127">
              <w:rPr>
                <w:b/>
                <w:sz w:val="16"/>
              </w:rPr>
              <w:t>Vote 2</w:t>
            </w:r>
          </w:p>
        </w:tc>
        <w:tc>
          <w:tcPr>
            <w:tcW w:w="2481" w:type="dxa"/>
          </w:tcPr>
          <w:p w14:paraId="1E158712" w14:textId="6FAD1647" w:rsidR="007F4127" w:rsidRPr="007F4127" w:rsidRDefault="007F4127" w:rsidP="004B3A31">
            <w:pPr>
              <w:pStyle w:val="BodyText"/>
              <w:spacing w:after="0"/>
              <w:jc w:val="center"/>
              <w:rPr>
                <w:b/>
                <w:sz w:val="16"/>
              </w:rPr>
            </w:pPr>
            <w:r w:rsidRPr="007F4127">
              <w:rPr>
                <w:b/>
                <w:sz w:val="16"/>
              </w:rPr>
              <w:t>Vote 3</w:t>
            </w:r>
          </w:p>
        </w:tc>
      </w:tr>
      <w:tr w:rsidR="00355EC7" w:rsidRPr="00AF653A" w14:paraId="573EE996" w14:textId="77777777" w:rsidTr="00732EF4">
        <w:trPr>
          <w:cnfStyle w:val="000000100000" w:firstRow="0" w:lastRow="0" w:firstColumn="0" w:lastColumn="0" w:oddVBand="0" w:evenVBand="0" w:oddHBand="1" w:evenHBand="0" w:firstRowFirstColumn="0" w:firstRowLastColumn="0" w:lastRowFirstColumn="0" w:lastRowLastColumn="0"/>
        </w:trPr>
        <w:tc>
          <w:tcPr>
            <w:tcW w:w="2480" w:type="dxa"/>
          </w:tcPr>
          <w:p w14:paraId="76D1274F" w14:textId="3874A285" w:rsidR="00355EC7" w:rsidRPr="007F4127" w:rsidRDefault="00355EC7" w:rsidP="00355EC7">
            <w:pPr>
              <w:pStyle w:val="BodyText"/>
              <w:spacing w:after="0"/>
              <w:jc w:val="left"/>
              <w:rPr>
                <w:b/>
                <w:sz w:val="16"/>
              </w:rPr>
            </w:pPr>
            <w:r w:rsidRPr="007F4127">
              <w:rPr>
                <w:b/>
                <w:sz w:val="16"/>
              </w:rPr>
              <w:t>Company name</w:t>
            </w:r>
          </w:p>
        </w:tc>
        <w:tc>
          <w:tcPr>
            <w:tcW w:w="2481" w:type="dxa"/>
            <w:vAlign w:val="top"/>
          </w:tcPr>
          <w:p w14:paraId="50DE02CD" w14:textId="1F58B237" w:rsidR="00355EC7" w:rsidRPr="00AF653A" w:rsidRDefault="00AF653A" w:rsidP="00355EC7">
            <w:pPr>
              <w:pStyle w:val="BodyText"/>
              <w:spacing w:after="0"/>
              <w:jc w:val="center"/>
              <w:rPr>
                <w:sz w:val="16"/>
                <w:szCs w:val="16"/>
              </w:rPr>
            </w:pPr>
            <w:r>
              <w:rPr>
                <w:sz w:val="16"/>
                <w:szCs w:val="16"/>
              </w:rPr>
              <w:t>Netflix Inc.</w:t>
            </w:r>
          </w:p>
        </w:tc>
        <w:tc>
          <w:tcPr>
            <w:tcW w:w="2481" w:type="dxa"/>
            <w:vAlign w:val="top"/>
          </w:tcPr>
          <w:p w14:paraId="701E4B1C" w14:textId="51F51971" w:rsidR="00355EC7" w:rsidRPr="00AF653A" w:rsidRDefault="00AF653A" w:rsidP="00355EC7">
            <w:pPr>
              <w:pStyle w:val="BodyText"/>
              <w:spacing w:after="0"/>
              <w:jc w:val="center"/>
              <w:rPr>
                <w:sz w:val="16"/>
                <w:szCs w:val="16"/>
              </w:rPr>
            </w:pPr>
            <w:r>
              <w:rPr>
                <w:sz w:val="16"/>
                <w:szCs w:val="16"/>
              </w:rPr>
              <w:t>Tesla Inc.</w:t>
            </w:r>
          </w:p>
        </w:tc>
        <w:tc>
          <w:tcPr>
            <w:tcW w:w="2481" w:type="dxa"/>
            <w:vAlign w:val="top"/>
          </w:tcPr>
          <w:p w14:paraId="55346CCD" w14:textId="42DD1ADF" w:rsidR="00355EC7" w:rsidRPr="00AF653A" w:rsidRDefault="00AF653A" w:rsidP="00355EC7">
            <w:pPr>
              <w:pStyle w:val="BodyText"/>
              <w:spacing w:after="0"/>
              <w:jc w:val="center"/>
              <w:rPr>
                <w:sz w:val="16"/>
                <w:szCs w:val="16"/>
              </w:rPr>
            </w:pPr>
            <w:r>
              <w:rPr>
                <w:sz w:val="16"/>
                <w:szCs w:val="16"/>
              </w:rPr>
              <w:t>Mesoblast</w:t>
            </w:r>
          </w:p>
        </w:tc>
      </w:tr>
      <w:tr w:rsidR="00355EC7" w:rsidRPr="00AF653A" w14:paraId="3DCAD703" w14:textId="77777777" w:rsidTr="00732EF4">
        <w:trPr>
          <w:cnfStyle w:val="000000010000" w:firstRow="0" w:lastRow="0" w:firstColumn="0" w:lastColumn="0" w:oddVBand="0" w:evenVBand="0" w:oddHBand="0" w:evenHBand="1" w:firstRowFirstColumn="0" w:firstRowLastColumn="0" w:lastRowFirstColumn="0" w:lastRowLastColumn="0"/>
        </w:trPr>
        <w:tc>
          <w:tcPr>
            <w:tcW w:w="2480" w:type="dxa"/>
          </w:tcPr>
          <w:p w14:paraId="2393F5A9" w14:textId="4EFA8883" w:rsidR="00355EC7" w:rsidRPr="007F4127" w:rsidRDefault="00355EC7" w:rsidP="00355EC7">
            <w:pPr>
              <w:pStyle w:val="BodyText"/>
              <w:spacing w:after="0"/>
              <w:jc w:val="left"/>
              <w:rPr>
                <w:b/>
                <w:sz w:val="16"/>
              </w:rPr>
            </w:pPr>
            <w:r w:rsidRPr="007F4127">
              <w:rPr>
                <w:b/>
                <w:sz w:val="16"/>
              </w:rPr>
              <w:t>Date of vote</w:t>
            </w:r>
          </w:p>
        </w:tc>
        <w:tc>
          <w:tcPr>
            <w:tcW w:w="2481" w:type="dxa"/>
            <w:vAlign w:val="top"/>
          </w:tcPr>
          <w:p w14:paraId="7E4429E2" w14:textId="2EDBD5BB" w:rsidR="00355EC7" w:rsidRPr="00AF653A" w:rsidRDefault="00AF653A" w:rsidP="00355EC7">
            <w:pPr>
              <w:pStyle w:val="BodyText"/>
              <w:spacing w:after="0"/>
              <w:jc w:val="center"/>
              <w:rPr>
                <w:sz w:val="16"/>
                <w:szCs w:val="16"/>
              </w:rPr>
            </w:pPr>
            <w:r>
              <w:rPr>
                <w:sz w:val="16"/>
                <w:szCs w:val="16"/>
              </w:rPr>
              <w:t>3 June 2021</w:t>
            </w:r>
          </w:p>
        </w:tc>
        <w:tc>
          <w:tcPr>
            <w:tcW w:w="2481" w:type="dxa"/>
            <w:vAlign w:val="top"/>
          </w:tcPr>
          <w:p w14:paraId="1807CCF9" w14:textId="3CDBA978" w:rsidR="00355EC7" w:rsidRPr="00AF653A" w:rsidRDefault="00AF653A" w:rsidP="00355EC7">
            <w:pPr>
              <w:pStyle w:val="BodyText"/>
              <w:spacing w:after="0"/>
              <w:jc w:val="center"/>
              <w:rPr>
                <w:sz w:val="16"/>
                <w:szCs w:val="16"/>
              </w:rPr>
            </w:pPr>
            <w:r>
              <w:rPr>
                <w:sz w:val="16"/>
                <w:szCs w:val="16"/>
              </w:rPr>
              <w:t>7 October 2021</w:t>
            </w:r>
          </w:p>
        </w:tc>
        <w:tc>
          <w:tcPr>
            <w:tcW w:w="2481" w:type="dxa"/>
            <w:vAlign w:val="top"/>
          </w:tcPr>
          <w:p w14:paraId="7E4F2852" w14:textId="4D13903C" w:rsidR="00355EC7" w:rsidRPr="00AF653A" w:rsidRDefault="00AF653A" w:rsidP="00355EC7">
            <w:pPr>
              <w:pStyle w:val="BodyText"/>
              <w:spacing w:after="0"/>
              <w:jc w:val="center"/>
              <w:rPr>
                <w:sz w:val="16"/>
                <w:szCs w:val="16"/>
              </w:rPr>
            </w:pPr>
            <w:r>
              <w:rPr>
                <w:sz w:val="16"/>
                <w:szCs w:val="16"/>
              </w:rPr>
              <w:t>29 November 2021</w:t>
            </w:r>
          </w:p>
        </w:tc>
      </w:tr>
      <w:tr w:rsidR="00355EC7" w:rsidRPr="00AF653A" w14:paraId="7C85294B" w14:textId="77777777" w:rsidTr="00732EF4">
        <w:trPr>
          <w:cnfStyle w:val="000000100000" w:firstRow="0" w:lastRow="0" w:firstColumn="0" w:lastColumn="0" w:oddVBand="0" w:evenVBand="0" w:oddHBand="1" w:evenHBand="0" w:firstRowFirstColumn="0" w:firstRowLastColumn="0" w:lastRowFirstColumn="0" w:lastRowLastColumn="0"/>
        </w:trPr>
        <w:tc>
          <w:tcPr>
            <w:tcW w:w="2480" w:type="dxa"/>
          </w:tcPr>
          <w:p w14:paraId="12B795F4" w14:textId="27B9AF09" w:rsidR="00355EC7" w:rsidRPr="007F4127" w:rsidRDefault="00355EC7" w:rsidP="00355EC7">
            <w:pPr>
              <w:pStyle w:val="BodyText"/>
              <w:spacing w:after="0"/>
              <w:jc w:val="left"/>
              <w:rPr>
                <w:b/>
                <w:sz w:val="16"/>
              </w:rPr>
            </w:pPr>
            <w:r w:rsidRPr="007F4127">
              <w:rPr>
                <w:b/>
                <w:sz w:val="16"/>
              </w:rPr>
              <w:t>Approximate size of fund's holding as at the date of the vote (as % of portfolio)</w:t>
            </w:r>
          </w:p>
        </w:tc>
        <w:tc>
          <w:tcPr>
            <w:tcW w:w="2481" w:type="dxa"/>
            <w:vAlign w:val="top"/>
          </w:tcPr>
          <w:p w14:paraId="28007860" w14:textId="2763A922" w:rsidR="00355EC7" w:rsidRPr="00AF653A" w:rsidRDefault="00AF653A" w:rsidP="00355EC7">
            <w:pPr>
              <w:pStyle w:val="BodyText"/>
              <w:spacing w:after="0"/>
              <w:jc w:val="center"/>
              <w:rPr>
                <w:sz w:val="16"/>
                <w:szCs w:val="16"/>
              </w:rPr>
            </w:pPr>
            <w:r>
              <w:rPr>
                <w:sz w:val="16"/>
                <w:szCs w:val="16"/>
              </w:rPr>
              <w:t>0.67</w:t>
            </w:r>
          </w:p>
        </w:tc>
        <w:tc>
          <w:tcPr>
            <w:tcW w:w="2481" w:type="dxa"/>
            <w:vAlign w:val="top"/>
          </w:tcPr>
          <w:p w14:paraId="3516C056" w14:textId="11663AE8" w:rsidR="00355EC7" w:rsidRPr="00AF653A" w:rsidRDefault="00AF653A" w:rsidP="00355EC7">
            <w:pPr>
              <w:pStyle w:val="BodyText"/>
              <w:spacing w:after="0"/>
              <w:jc w:val="center"/>
              <w:rPr>
                <w:sz w:val="16"/>
                <w:szCs w:val="16"/>
              </w:rPr>
            </w:pPr>
            <w:r>
              <w:rPr>
                <w:sz w:val="16"/>
                <w:szCs w:val="16"/>
              </w:rPr>
              <w:t>0.92</w:t>
            </w:r>
          </w:p>
        </w:tc>
        <w:tc>
          <w:tcPr>
            <w:tcW w:w="2481" w:type="dxa"/>
            <w:vAlign w:val="top"/>
          </w:tcPr>
          <w:p w14:paraId="44DD6554" w14:textId="746BC6A5" w:rsidR="00355EC7" w:rsidRPr="00AF653A" w:rsidRDefault="00AF653A" w:rsidP="00355EC7">
            <w:pPr>
              <w:pStyle w:val="BodyText"/>
              <w:spacing w:after="0"/>
              <w:jc w:val="center"/>
              <w:rPr>
                <w:sz w:val="16"/>
                <w:szCs w:val="16"/>
              </w:rPr>
            </w:pPr>
            <w:r>
              <w:rPr>
                <w:sz w:val="16"/>
                <w:szCs w:val="16"/>
              </w:rPr>
              <w:t>0.03</w:t>
            </w:r>
          </w:p>
        </w:tc>
      </w:tr>
      <w:tr w:rsidR="00355EC7" w:rsidRPr="00AF653A" w14:paraId="25B09A45" w14:textId="77777777" w:rsidTr="00732EF4">
        <w:trPr>
          <w:cnfStyle w:val="000000010000" w:firstRow="0" w:lastRow="0" w:firstColumn="0" w:lastColumn="0" w:oddVBand="0" w:evenVBand="0" w:oddHBand="0" w:evenHBand="1" w:firstRowFirstColumn="0" w:firstRowLastColumn="0" w:lastRowFirstColumn="0" w:lastRowLastColumn="0"/>
        </w:trPr>
        <w:tc>
          <w:tcPr>
            <w:tcW w:w="2480" w:type="dxa"/>
          </w:tcPr>
          <w:p w14:paraId="7DC891B7" w14:textId="5D4CC32C" w:rsidR="00355EC7" w:rsidRPr="007F4127" w:rsidRDefault="00355EC7" w:rsidP="00355EC7">
            <w:pPr>
              <w:pStyle w:val="BodyText"/>
              <w:spacing w:after="0"/>
              <w:jc w:val="left"/>
              <w:rPr>
                <w:b/>
                <w:sz w:val="16"/>
              </w:rPr>
            </w:pPr>
            <w:r w:rsidRPr="007F4127">
              <w:rPr>
                <w:b/>
                <w:sz w:val="16"/>
              </w:rPr>
              <w:t>Summary of the resolution</w:t>
            </w:r>
          </w:p>
        </w:tc>
        <w:tc>
          <w:tcPr>
            <w:tcW w:w="2481" w:type="dxa"/>
            <w:vAlign w:val="top"/>
          </w:tcPr>
          <w:p w14:paraId="128B21DA" w14:textId="48307B6E" w:rsidR="00355EC7" w:rsidRPr="00AF653A" w:rsidRDefault="00AF653A" w:rsidP="00355EC7">
            <w:pPr>
              <w:pStyle w:val="BodyText"/>
              <w:spacing w:after="0"/>
              <w:jc w:val="center"/>
              <w:rPr>
                <w:sz w:val="16"/>
                <w:szCs w:val="16"/>
              </w:rPr>
            </w:pPr>
            <w:r>
              <w:rPr>
                <w:sz w:val="16"/>
                <w:szCs w:val="16"/>
              </w:rPr>
              <w:t>Shareholder resolution for a report on political contributions.</w:t>
            </w:r>
          </w:p>
        </w:tc>
        <w:tc>
          <w:tcPr>
            <w:tcW w:w="2481" w:type="dxa"/>
            <w:vAlign w:val="top"/>
          </w:tcPr>
          <w:p w14:paraId="7E9E7225" w14:textId="42DE613F" w:rsidR="00355EC7" w:rsidRPr="00AF653A" w:rsidRDefault="007A72D2" w:rsidP="00355EC7">
            <w:pPr>
              <w:pStyle w:val="BodyText"/>
              <w:spacing w:after="0"/>
              <w:jc w:val="center"/>
              <w:rPr>
                <w:sz w:val="16"/>
                <w:szCs w:val="16"/>
              </w:rPr>
            </w:pPr>
            <w:r>
              <w:rPr>
                <w:sz w:val="16"/>
                <w:szCs w:val="16"/>
              </w:rPr>
              <w:t>Shareholder resolution requesting a report on the company’s use of arbitration to resolve employee disputes.</w:t>
            </w:r>
          </w:p>
        </w:tc>
        <w:tc>
          <w:tcPr>
            <w:tcW w:w="2481" w:type="dxa"/>
            <w:vAlign w:val="top"/>
          </w:tcPr>
          <w:p w14:paraId="1F8E005C" w14:textId="1B896E76" w:rsidR="00355EC7" w:rsidRPr="00AF653A" w:rsidRDefault="007A72D2" w:rsidP="00355EC7">
            <w:pPr>
              <w:pStyle w:val="BodyText"/>
              <w:spacing w:after="0"/>
              <w:jc w:val="center"/>
              <w:rPr>
                <w:sz w:val="16"/>
                <w:szCs w:val="16"/>
              </w:rPr>
            </w:pPr>
            <w:r>
              <w:rPr>
                <w:sz w:val="16"/>
                <w:szCs w:val="16"/>
              </w:rPr>
              <w:t>Grant of options to a non-executive director.</w:t>
            </w:r>
          </w:p>
        </w:tc>
      </w:tr>
      <w:tr w:rsidR="00355EC7" w:rsidRPr="00AF653A" w14:paraId="266EC143" w14:textId="77777777" w:rsidTr="00732EF4">
        <w:trPr>
          <w:cnfStyle w:val="000000100000" w:firstRow="0" w:lastRow="0" w:firstColumn="0" w:lastColumn="0" w:oddVBand="0" w:evenVBand="0" w:oddHBand="1" w:evenHBand="0" w:firstRowFirstColumn="0" w:firstRowLastColumn="0" w:lastRowFirstColumn="0" w:lastRowLastColumn="0"/>
        </w:trPr>
        <w:tc>
          <w:tcPr>
            <w:tcW w:w="2480" w:type="dxa"/>
          </w:tcPr>
          <w:p w14:paraId="2C3326BD" w14:textId="2FE62D7F" w:rsidR="00355EC7" w:rsidRPr="007F4127" w:rsidRDefault="00355EC7" w:rsidP="00355EC7">
            <w:pPr>
              <w:pStyle w:val="BodyText"/>
              <w:spacing w:after="0"/>
              <w:jc w:val="left"/>
              <w:rPr>
                <w:b/>
                <w:sz w:val="16"/>
              </w:rPr>
            </w:pPr>
            <w:r w:rsidRPr="007F4127">
              <w:rPr>
                <w:b/>
                <w:sz w:val="16"/>
              </w:rPr>
              <w:t xml:space="preserve">How </w:t>
            </w:r>
            <w:r>
              <w:rPr>
                <w:b/>
                <w:sz w:val="16"/>
              </w:rPr>
              <w:t>the manager voted</w:t>
            </w:r>
          </w:p>
        </w:tc>
        <w:tc>
          <w:tcPr>
            <w:tcW w:w="2481" w:type="dxa"/>
            <w:vAlign w:val="top"/>
          </w:tcPr>
          <w:p w14:paraId="4161E931" w14:textId="024B7E6A" w:rsidR="00355EC7" w:rsidRPr="00AF653A" w:rsidRDefault="007A72D2" w:rsidP="00355EC7">
            <w:pPr>
              <w:pStyle w:val="BodyText"/>
              <w:spacing w:after="0"/>
              <w:jc w:val="center"/>
              <w:rPr>
                <w:sz w:val="16"/>
                <w:szCs w:val="16"/>
              </w:rPr>
            </w:pPr>
            <w:r>
              <w:rPr>
                <w:sz w:val="16"/>
                <w:szCs w:val="16"/>
              </w:rPr>
              <w:t>For</w:t>
            </w:r>
          </w:p>
        </w:tc>
        <w:tc>
          <w:tcPr>
            <w:tcW w:w="2481" w:type="dxa"/>
            <w:vAlign w:val="top"/>
          </w:tcPr>
          <w:p w14:paraId="643BD00B" w14:textId="6C97B3D5" w:rsidR="00355EC7" w:rsidRPr="00AF653A" w:rsidRDefault="007A72D2" w:rsidP="00355EC7">
            <w:pPr>
              <w:pStyle w:val="BodyText"/>
              <w:spacing w:after="0"/>
              <w:jc w:val="center"/>
              <w:rPr>
                <w:sz w:val="16"/>
                <w:szCs w:val="16"/>
              </w:rPr>
            </w:pPr>
            <w:r>
              <w:rPr>
                <w:sz w:val="16"/>
                <w:szCs w:val="16"/>
              </w:rPr>
              <w:t>For</w:t>
            </w:r>
          </w:p>
        </w:tc>
        <w:tc>
          <w:tcPr>
            <w:tcW w:w="2481" w:type="dxa"/>
            <w:vAlign w:val="top"/>
          </w:tcPr>
          <w:p w14:paraId="65A92EA1" w14:textId="06ECCDED" w:rsidR="00355EC7" w:rsidRPr="00AF653A" w:rsidRDefault="007A72D2" w:rsidP="00355EC7">
            <w:pPr>
              <w:pStyle w:val="BodyText"/>
              <w:spacing w:after="0"/>
              <w:jc w:val="center"/>
              <w:rPr>
                <w:sz w:val="16"/>
                <w:szCs w:val="16"/>
              </w:rPr>
            </w:pPr>
            <w:r>
              <w:rPr>
                <w:sz w:val="16"/>
                <w:szCs w:val="16"/>
              </w:rPr>
              <w:t>Against</w:t>
            </w:r>
          </w:p>
        </w:tc>
      </w:tr>
      <w:tr w:rsidR="00355EC7" w:rsidRPr="00AF653A" w14:paraId="38C3A93A" w14:textId="77777777" w:rsidTr="00732EF4">
        <w:trPr>
          <w:cnfStyle w:val="000000010000" w:firstRow="0" w:lastRow="0" w:firstColumn="0" w:lastColumn="0" w:oddVBand="0" w:evenVBand="0" w:oddHBand="0" w:evenHBand="1" w:firstRowFirstColumn="0" w:firstRowLastColumn="0" w:lastRowFirstColumn="0" w:lastRowLastColumn="0"/>
        </w:trPr>
        <w:tc>
          <w:tcPr>
            <w:tcW w:w="2480" w:type="dxa"/>
          </w:tcPr>
          <w:p w14:paraId="763218A1" w14:textId="517744CF" w:rsidR="00355EC7" w:rsidRPr="007F4127" w:rsidRDefault="00355EC7" w:rsidP="00355EC7">
            <w:pPr>
              <w:pStyle w:val="BodyText"/>
              <w:spacing w:after="0"/>
              <w:jc w:val="left"/>
              <w:rPr>
                <w:b/>
                <w:sz w:val="16"/>
              </w:rPr>
            </w:pPr>
            <w:r>
              <w:rPr>
                <w:b/>
                <w:sz w:val="16"/>
              </w:rPr>
              <w:t xml:space="preserve">If the vote was against management, did the manager </w:t>
            </w:r>
            <w:r w:rsidRPr="007F4127">
              <w:rPr>
                <w:b/>
                <w:sz w:val="16"/>
              </w:rPr>
              <w:t xml:space="preserve">communicate </w:t>
            </w:r>
            <w:r>
              <w:rPr>
                <w:b/>
                <w:sz w:val="16"/>
              </w:rPr>
              <w:t>their</w:t>
            </w:r>
            <w:r w:rsidRPr="007F4127">
              <w:rPr>
                <w:b/>
                <w:sz w:val="16"/>
              </w:rPr>
              <w:t xml:space="preserve"> intent to the company ahead of the vote?</w:t>
            </w:r>
          </w:p>
        </w:tc>
        <w:tc>
          <w:tcPr>
            <w:tcW w:w="2481" w:type="dxa"/>
            <w:vAlign w:val="top"/>
          </w:tcPr>
          <w:p w14:paraId="7AE7D8D6" w14:textId="3B9D3FA4" w:rsidR="00355EC7" w:rsidRPr="00AF653A" w:rsidRDefault="007A72D2" w:rsidP="00355EC7">
            <w:pPr>
              <w:pStyle w:val="BodyText"/>
              <w:spacing w:after="0"/>
              <w:jc w:val="center"/>
              <w:rPr>
                <w:sz w:val="16"/>
                <w:szCs w:val="16"/>
              </w:rPr>
            </w:pPr>
            <w:r>
              <w:rPr>
                <w:sz w:val="16"/>
                <w:szCs w:val="16"/>
              </w:rPr>
              <w:t>No</w:t>
            </w:r>
          </w:p>
        </w:tc>
        <w:tc>
          <w:tcPr>
            <w:tcW w:w="2481" w:type="dxa"/>
            <w:vAlign w:val="top"/>
          </w:tcPr>
          <w:p w14:paraId="2B768FCA" w14:textId="162D6DA4" w:rsidR="00355EC7" w:rsidRPr="00AF653A" w:rsidRDefault="007A72D2" w:rsidP="00355EC7">
            <w:pPr>
              <w:pStyle w:val="BodyText"/>
              <w:spacing w:after="0"/>
              <w:jc w:val="center"/>
              <w:rPr>
                <w:sz w:val="16"/>
                <w:szCs w:val="16"/>
              </w:rPr>
            </w:pPr>
            <w:r>
              <w:rPr>
                <w:sz w:val="16"/>
                <w:szCs w:val="16"/>
              </w:rPr>
              <w:t>Yes</w:t>
            </w:r>
          </w:p>
        </w:tc>
        <w:tc>
          <w:tcPr>
            <w:tcW w:w="2481" w:type="dxa"/>
            <w:vAlign w:val="top"/>
          </w:tcPr>
          <w:p w14:paraId="7E771092" w14:textId="492CE964" w:rsidR="00355EC7" w:rsidRPr="00AF653A" w:rsidRDefault="007A72D2" w:rsidP="00355EC7">
            <w:pPr>
              <w:pStyle w:val="BodyText"/>
              <w:spacing w:after="0"/>
              <w:jc w:val="center"/>
              <w:rPr>
                <w:sz w:val="16"/>
                <w:szCs w:val="16"/>
              </w:rPr>
            </w:pPr>
            <w:r>
              <w:rPr>
                <w:sz w:val="16"/>
                <w:szCs w:val="16"/>
              </w:rPr>
              <w:t>No</w:t>
            </w:r>
          </w:p>
        </w:tc>
      </w:tr>
      <w:tr w:rsidR="00355EC7" w:rsidRPr="00AF653A" w14:paraId="37C8AA0F" w14:textId="77777777" w:rsidTr="00732EF4">
        <w:trPr>
          <w:cnfStyle w:val="000000100000" w:firstRow="0" w:lastRow="0" w:firstColumn="0" w:lastColumn="0" w:oddVBand="0" w:evenVBand="0" w:oddHBand="1" w:evenHBand="0" w:firstRowFirstColumn="0" w:firstRowLastColumn="0" w:lastRowFirstColumn="0" w:lastRowLastColumn="0"/>
        </w:trPr>
        <w:tc>
          <w:tcPr>
            <w:tcW w:w="2480" w:type="dxa"/>
          </w:tcPr>
          <w:p w14:paraId="445701E4" w14:textId="29BE8BEE" w:rsidR="00355EC7" w:rsidRPr="007F4127" w:rsidRDefault="00355EC7" w:rsidP="00355EC7">
            <w:pPr>
              <w:pStyle w:val="BodyText"/>
              <w:spacing w:after="0"/>
              <w:jc w:val="left"/>
              <w:rPr>
                <w:b/>
                <w:sz w:val="16"/>
              </w:rPr>
            </w:pPr>
            <w:r w:rsidRPr="007F4127">
              <w:rPr>
                <w:b/>
                <w:sz w:val="16"/>
              </w:rPr>
              <w:t>Rationale for the voting decision</w:t>
            </w:r>
          </w:p>
        </w:tc>
        <w:tc>
          <w:tcPr>
            <w:tcW w:w="2481" w:type="dxa"/>
            <w:vAlign w:val="top"/>
          </w:tcPr>
          <w:p w14:paraId="58F04F3C" w14:textId="514BD0BC" w:rsidR="00355EC7" w:rsidRPr="00AF653A" w:rsidRDefault="008B4883" w:rsidP="00355EC7">
            <w:pPr>
              <w:pStyle w:val="BodyText"/>
              <w:spacing w:after="0"/>
              <w:jc w:val="center"/>
              <w:rPr>
                <w:sz w:val="16"/>
                <w:szCs w:val="16"/>
              </w:rPr>
            </w:pPr>
            <w:r>
              <w:rPr>
                <w:sz w:val="16"/>
                <w:szCs w:val="16"/>
              </w:rPr>
              <w:t>Baillie Gifford</w:t>
            </w:r>
            <w:r w:rsidR="007A72D2" w:rsidRPr="007A72D2">
              <w:rPr>
                <w:sz w:val="16"/>
                <w:szCs w:val="16"/>
              </w:rPr>
              <w:t xml:space="preserve"> believe enhanced disclosure on the company's policies and procedures is in shareholders' best interests.</w:t>
            </w:r>
          </w:p>
        </w:tc>
        <w:tc>
          <w:tcPr>
            <w:tcW w:w="2481" w:type="dxa"/>
            <w:vAlign w:val="top"/>
          </w:tcPr>
          <w:p w14:paraId="161C8E9C" w14:textId="66F6B06A" w:rsidR="00355EC7" w:rsidRPr="00AF653A" w:rsidRDefault="008B4883" w:rsidP="00355EC7">
            <w:pPr>
              <w:pStyle w:val="BodyText"/>
              <w:spacing w:after="0"/>
              <w:jc w:val="center"/>
              <w:rPr>
                <w:sz w:val="16"/>
                <w:szCs w:val="16"/>
              </w:rPr>
            </w:pPr>
            <w:r>
              <w:rPr>
                <w:sz w:val="16"/>
                <w:szCs w:val="16"/>
              </w:rPr>
              <w:t xml:space="preserve">Baillie Gifford </w:t>
            </w:r>
            <w:r w:rsidR="007A72D2" w:rsidRPr="007A72D2">
              <w:rPr>
                <w:sz w:val="16"/>
                <w:szCs w:val="16"/>
              </w:rPr>
              <w:t xml:space="preserve">think additional disclosure and transparency on this provision would </w:t>
            </w:r>
            <w:r w:rsidR="004F11CF" w:rsidRPr="007A72D2">
              <w:rPr>
                <w:sz w:val="16"/>
                <w:szCs w:val="16"/>
              </w:rPr>
              <w:t>clarify</w:t>
            </w:r>
            <w:r w:rsidR="007A72D2" w:rsidRPr="007A72D2">
              <w:rPr>
                <w:sz w:val="16"/>
                <w:szCs w:val="16"/>
              </w:rPr>
              <w:t xml:space="preserve"> Tesla's workplace practices.</w:t>
            </w:r>
          </w:p>
        </w:tc>
        <w:tc>
          <w:tcPr>
            <w:tcW w:w="2481" w:type="dxa"/>
            <w:vAlign w:val="top"/>
          </w:tcPr>
          <w:p w14:paraId="6097BA08" w14:textId="5FDA5606" w:rsidR="00355EC7" w:rsidRPr="00AF653A" w:rsidRDefault="008B4883" w:rsidP="00355EC7">
            <w:pPr>
              <w:pStyle w:val="BodyText"/>
              <w:spacing w:after="0"/>
              <w:jc w:val="center"/>
              <w:rPr>
                <w:sz w:val="16"/>
                <w:szCs w:val="16"/>
              </w:rPr>
            </w:pPr>
            <w:r>
              <w:rPr>
                <w:sz w:val="16"/>
                <w:szCs w:val="16"/>
              </w:rPr>
              <w:t>Baillie Gifford</w:t>
            </w:r>
            <w:r w:rsidR="007A72D2" w:rsidRPr="007A72D2">
              <w:rPr>
                <w:sz w:val="16"/>
                <w:szCs w:val="16"/>
              </w:rPr>
              <w:t xml:space="preserve"> opposed the grant of options due to concerns that it could compromise the</w:t>
            </w:r>
            <w:r w:rsidR="00437D93">
              <w:rPr>
                <w:sz w:val="16"/>
                <w:szCs w:val="16"/>
              </w:rPr>
              <w:t xml:space="preserve"> director’s </w:t>
            </w:r>
            <w:r w:rsidR="007A72D2" w:rsidRPr="007A72D2">
              <w:rPr>
                <w:sz w:val="16"/>
                <w:szCs w:val="16"/>
              </w:rPr>
              <w:t>independence.</w:t>
            </w:r>
          </w:p>
        </w:tc>
      </w:tr>
      <w:tr w:rsidR="00355EC7" w:rsidRPr="00AF653A" w14:paraId="131468F1" w14:textId="77777777" w:rsidTr="00732EF4">
        <w:trPr>
          <w:cnfStyle w:val="000000010000" w:firstRow="0" w:lastRow="0" w:firstColumn="0" w:lastColumn="0" w:oddVBand="0" w:evenVBand="0" w:oddHBand="0" w:evenHBand="1" w:firstRowFirstColumn="0" w:firstRowLastColumn="0" w:lastRowFirstColumn="0" w:lastRowLastColumn="0"/>
        </w:trPr>
        <w:tc>
          <w:tcPr>
            <w:tcW w:w="2480" w:type="dxa"/>
          </w:tcPr>
          <w:p w14:paraId="46F2FE4C" w14:textId="4D0A5ADF" w:rsidR="00355EC7" w:rsidRPr="007F4127" w:rsidRDefault="00355EC7" w:rsidP="00355EC7">
            <w:pPr>
              <w:pStyle w:val="BodyText"/>
              <w:spacing w:after="0"/>
              <w:jc w:val="left"/>
              <w:rPr>
                <w:b/>
                <w:sz w:val="16"/>
              </w:rPr>
            </w:pPr>
            <w:r w:rsidRPr="007F4127">
              <w:rPr>
                <w:b/>
                <w:sz w:val="16"/>
              </w:rPr>
              <w:t>Outcome of the vote</w:t>
            </w:r>
          </w:p>
        </w:tc>
        <w:tc>
          <w:tcPr>
            <w:tcW w:w="2481" w:type="dxa"/>
            <w:vAlign w:val="top"/>
          </w:tcPr>
          <w:p w14:paraId="731290C8" w14:textId="79BDB878" w:rsidR="00355EC7" w:rsidRPr="00AF653A" w:rsidRDefault="007A72D2" w:rsidP="00355EC7">
            <w:pPr>
              <w:pStyle w:val="BodyText"/>
              <w:spacing w:after="0"/>
              <w:jc w:val="center"/>
              <w:rPr>
                <w:sz w:val="16"/>
                <w:szCs w:val="16"/>
              </w:rPr>
            </w:pPr>
            <w:r>
              <w:rPr>
                <w:sz w:val="16"/>
                <w:szCs w:val="16"/>
              </w:rPr>
              <w:t>Pass</w:t>
            </w:r>
          </w:p>
        </w:tc>
        <w:tc>
          <w:tcPr>
            <w:tcW w:w="2481" w:type="dxa"/>
            <w:vAlign w:val="top"/>
          </w:tcPr>
          <w:p w14:paraId="2A494D6E" w14:textId="10B9F111" w:rsidR="00355EC7" w:rsidRPr="00AF653A" w:rsidRDefault="008B4883" w:rsidP="00355EC7">
            <w:pPr>
              <w:pStyle w:val="BodyText"/>
              <w:spacing w:after="0"/>
              <w:jc w:val="center"/>
              <w:rPr>
                <w:sz w:val="16"/>
                <w:szCs w:val="16"/>
              </w:rPr>
            </w:pPr>
            <w:r>
              <w:rPr>
                <w:sz w:val="16"/>
                <w:szCs w:val="16"/>
              </w:rPr>
              <w:t>Fail</w:t>
            </w:r>
          </w:p>
        </w:tc>
        <w:tc>
          <w:tcPr>
            <w:tcW w:w="2481" w:type="dxa"/>
            <w:vAlign w:val="top"/>
          </w:tcPr>
          <w:p w14:paraId="592C49B4" w14:textId="3216FAFE" w:rsidR="00355EC7" w:rsidRPr="00AF653A" w:rsidRDefault="008B4883" w:rsidP="00355EC7">
            <w:pPr>
              <w:pStyle w:val="BodyText"/>
              <w:spacing w:after="0"/>
              <w:jc w:val="center"/>
              <w:rPr>
                <w:sz w:val="16"/>
                <w:szCs w:val="16"/>
              </w:rPr>
            </w:pPr>
            <w:r>
              <w:rPr>
                <w:sz w:val="16"/>
                <w:szCs w:val="16"/>
              </w:rPr>
              <w:t>Pass</w:t>
            </w:r>
          </w:p>
        </w:tc>
      </w:tr>
      <w:tr w:rsidR="00355EC7" w:rsidRPr="00AF653A" w14:paraId="45A65379" w14:textId="77777777" w:rsidTr="00732EF4">
        <w:trPr>
          <w:cnfStyle w:val="000000100000" w:firstRow="0" w:lastRow="0" w:firstColumn="0" w:lastColumn="0" w:oddVBand="0" w:evenVBand="0" w:oddHBand="1" w:evenHBand="0" w:firstRowFirstColumn="0" w:firstRowLastColumn="0" w:lastRowFirstColumn="0" w:lastRowLastColumn="0"/>
        </w:trPr>
        <w:tc>
          <w:tcPr>
            <w:tcW w:w="2480" w:type="dxa"/>
          </w:tcPr>
          <w:p w14:paraId="43C832EB" w14:textId="46A95F3E" w:rsidR="00355EC7" w:rsidRPr="007F4127" w:rsidRDefault="00355EC7" w:rsidP="00355EC7">
            <w:pPr>
              <w:pStyle w:val="BodyText"/>
              <w:spacing w:after="0"/>
              <w:jc w:val="left"/>
              <w:rPr>
                <w:b/>
                <w:sz w:val="16"/>
              </w:rPr>
            </w:pPr>
            <w:r>
              <w:rPr>
                <w:b/>
                <w:sz w:val="16"/>
              </w:rPr>
              <w:lastRenderedPageBreak/>
              <w:t>Implications of the outcome</w:t>
            </w:r>
          </w:p>
        </w:tc>
        <w:tc>
          <w:tcPr>
            <w:tcW w:w="2481" w:type="dxa"/>
            <w:vAlign w:val="top"/>
          </w:tcPr>
          <w:p w14:paraId="72462E1A" w14:textId="77777777" w:rsidR="008B4883" w:rsidRDefault="008B4883" w:rsidP="00355EC7">
            <w:pPr>
              <w:pStyle w:val="BodyText"/>
              <w:spacing w:after="0"/>
              <w:jc w:val="center"/>
              <w:rPr>
                <w:sz w:val="16"/>
                <w:szCs w:val="16"/>
              </w:rPr>
            </w:pPr>
            <w:r w:rsidRPr="008B4883">
              <w:rPr>
                <w:sz w:val="16"/>
                <w:szCs w:val="16"/>
              </w:rPr>
              <w:t xml:space="preserve">This proposal passed with more than 80% support. </w:t>
            </w:r>
            <w:r>
              <w:rPr>
                <w:sz w:val="16"/>
                <w:szCs w:val="16"/>
              </w:rPr>
              <w:t>At the time the vote took place,</w:t>
            </w:r>
            <w:r w:rsidRPr="008B4883">
              <w:rPr>
                <w:sz w:val="16"/>
                <w:szCs w:val="16"/>
              </w:rPr>
              <w:t xml:space="preserve">  </w:t>
            </w:r>
          </w:p>
          <w:p w14:paraId="72563B35" w14:textId="61673196" w:rsidR="00355EC7" w:rsidRPr="00AF653A" w:rsidRDefault="008B4883" w:rsidP="00355EC7">
            <w:pPr>
              <w:pStyle w:val="BodyText"/>
              <w:spacing w:after="0"/>
              <w:jc w:val="center"/>
              <w:rPr>
                <w:sz w:val="16"/>
                <w:szCs w:val="16"/>
              </w:rPr>
            </w:pPr>
            <w:r w:rsidRPr="008B4883">
              <w:rPr>
                <w:sz w:val="16"/>
                <w:szCs w:val="16"/>
              </w:rPr>
              <w:t>Netflix d</w:t>
            </w:r>
            <w:r>
              <w:rPr>
                <w:sz w:val="16"/>
                <w:szCs w:val="16"/>
              </w:rPr>
              <w:t xml:space="preserve">id </w:t>
            </w:r>
            <w:r w:rsidRPr="008B4883">
              <w:rPr>
                <w:sz w:val="16"/>
                <w:szCs w:val="16"/>
              </w:rPr>
              <w:t>not disclose any information regarding its political contributions management or oversight, and it d</w:t>
            </w:r>
            <w:r>
              <w:rPr>
                <w:sz w:val="16"/>
                <w:szCs w:val="16"/>
              </w:rPr>
              <w:t xml:space="preserve">id </w:t>
            </w:r>
            <w:r w:rsidRPr="008B4883">
              <w:rPr>
                <w:sz w:val="16"/>
                <w:szCs w:val="16"/>
              </w:rPr>
              <w:t>not disclose information on amounts spent on political contributions or monies given to trade associations</w:t>
            </w:r>
            <w:r>
              <w:rPr>
                <w:sz w:val="16"/>
                <w:szCs w:val="16"/>
              </w:rPr>
              <w:t>. Netflix also did not</w:t>
            </w:r>
            <w:r w:rsidRPr="008B4883">
              <w:rPr>
                <w:sz w:val="16"/>
                <w:szCs w:val="16"/>
              </w:rPr>
              <w:t xml:space="preserve"> provide a list of trade associations or other advocacy groups it may support. </w:t>
            </w:r>
            <w:r>
              <w:rPr>
                <w:sz w:val="16"/>
                <w:szCs w:val="16"/>
              </w:rPr>
              <w:t>Baillie Gifford</w:t>
            </w:r>
            <w:r w:rsidRPr="008B4883">
              <w:rPr>
                <w:sz w:val="16"/>
                <w:szCs w:val="16"/>
              </w:rPr>
              <w:t xml:space="preserve"> supported given the lack of information and continue to engage on this and other topics with Netflix.</w:t>
            </w:r>
          </w:p>
        </w:tc>
        <w:tc>
          <w:tcPr>
            <w:tcW w:w="2481" w:type="dxa"/>
            <w:vAlign w:val="top"/>
          </w:tcPr>
          <w:p w14:paraId="712A5849" w14:textId="03ED39C8" w:rsidR="00355EC7" w:rsidRPr="00AF653A" w:rsidRDefault="008B4883" w:rsidP="00355EC7">
            <w:pPr>
              <w:pStyle w:val="BodyText"/>
              <w:spacing w:after="0"/>
              <w:jc w:val="center"/>
              <w:rPr>
                <w:sz w:val="16"/>
                <w:szCs w:val="16"/>
              </w:rPr>
            </w:pPr>
            <w:r w:rsidRPr="008B4883">
              <w:rPr>
                <w:sz w:val="16"/>
                <w:szCs w:val="16"/>
              </w:rPr>
              <w:t>This was the second time this resolution was put forward, and at the 2020 AGM i</w:t>
            </w:r>
            <w:r w:rsidR="008F13C4">
              <w:rPr>
                <w:sz w:val="16"/>
                <w:szCs w:val="16"/>
              </w:rPr>
              <w:t>t</w:t>
            </w:r>
            <w:r w:rsidRPr="008B4883">
              <w:rPr>
                <w:sz w:val="16"/>
                <w:szCs w:val="16"/>
              </w:rPr>
              <w:t xml:space="preserve"> received over 26% support</w:t>
            </w:r>
            <w:r w:rsidR="008F13C4">
              <w:rPr>
                <w:sz w:val="16"/>
                <w:szCs w:val="16"/>
              </w:rPr>
              <w:t xml:space="preserve">, with Baillie Gifford also voting in favour. </w:t>
            </w:r>
            <w:r w:rsidRPr="008B4883">
              <w:rPr>
                <w:sz w:val="16"/>
                <w:szCs w:val="16"/>
              </w:rPr>
              <w:t xml:space="preserve"> </w:t>
            </w:r>
            <w:r w:rsidR="008F13C4">
              <w:rPr>
                <w:sz w:val="16"/>
                <w:szCs w:val="16"/>
              </w:rPr>
              <w:t>Baillie Gifford felt</w:t>
            </w:r>
            <w:r w:rsidRPr="008B4883">
              <w:rPr>
                <w:sz w:val="16"/>
                <w:szCs w:val="16"/>
              </w:rPr>
              <w:t xml:space="preserve"> nothing material had changed</w:t>
            </w:r>
            <w:r w:rsidR="008F13C4">
              <w:rPr>
                <w:sz w:val="16"/>
                <w:szCs w:val="16"/>
              </w:rPr>
              <w:t xml:space="preserve"> over the year</w:t>
            </w:r>
            <w:r w:rsidRPr="008B4883">
              <w:rPr>
                <w:sz w:val="16"/>
                <w:szCs w:val="16"/>
              </w:rPr>
              <w:t xml:space="preserve">, </w:t>
            </w:r>
            <w:r w:rsidR="008F13C4">
              <w:rPr>
                <w:sz w:val="16"/>
                <w:szCs w:val="16"/>
              </w:rPr>
              <w:t>and so</w:t>
            </w:r>
            <w:r w:rsidRPr="008B4883">
              <w:rPr>
                <w:sz w:val="16"/>
                <w:szCs w:val="16"/>
              </w:rPr>
              <w:t xml:space="preserve"> continued to support the proposal. </w:t>
            </w:r>
            <w:r w:rsidR="008F13C4">
              <w:rPr>
                <w:sz w:val="16"/>
                <w:szCs w:val="16"/>
              </w:rPr>
              <w:t>Baillie Gifford</w:t>
            </w:r>
            <w:r w:rsidRPr="008B4883">
              <w:rPr>
                <w:sz w:val="16"/>
                <w:szCs w:val="16"/>
              </w:rPr>
              <w:t xml:space="preserve"> have communicated </w:t>
            </w:r>
            <w:r w:rsidR="008F13C4">
              <w:rPr>
                <w:sz w:val="16"/>
                <w:szCs w:val="16"/>
              </w:rPr>
              <w:t>their</w:t>
            </w:r>
            <w:r w:rsidRPr="008B4883">
              <w:rPr>
                <w:sz w:val="16"/>
                <w:szCs w:val="16"/>
              </w:rPr>
              <w:t xml:space="preserve"> opinion to the board.</w:t>
            </w:r>
          </w:p>
        </w:tc>
        <w:tc>
          <w:tcPr>
            <w:tcW w:w="2481" w:type="dxa"/>
            <w:vAlign w:val="top"/>
          </w:tcPr>
          <w:p w14:paraId="0089E86D" w14:textId="08B1C8FE" w:rsidR="00355EC7" w:rsidRPr="00AF653A" w:rsidRDefault="008B4883" w:rsidP="00355EC7">
            <w:pPr>
              <w:pStyle w:val="BodyText"/>
              <w:spacing w:after="0"/>
              <w:jc w:val="center"/>
              <w:rPr>
                <w:sz w:val="16"/>
                <w:szCs w:val="16"/>
              </w:rPr>
            </w:pPr>
            <w:r w:rsidRPr="008B4883">
              <w:rPr>
                <w:sz w:val="16"/>
                <w:szCs w:val="16"/>
              </w:rPr>
              <w:t>The resolution received significant dissent with a 26% opposition. In general</w:t>
            </w:r>
            <w:r w:rsidR="004F11CF">
              <w:rPr>
                <w:sz w:val="16"/>
                <w:szCs w:val="16"/>
              </w:rPr>
              <w:t xml:space="preserve">, Baillie Gifford </w:t>
            </w:r>
            <w:r w:rsidRPr="008B4883">
              <w:rPr>
                <w:sz w:val="16"/>
                <w:szCs w:val="16"/>
              </w:rPr>
              <w:t xml:space="preserve">are hesitant </w:t>
            </w:r>
            <w:r w:rsidR="004F11CF">
              <w:rPr>
                <w:sz w:val="16"/>
                <w:szCs w:val="16"/>
              </w:rPr>
              <w:t>to support</w:t>
            </w:r>
            <w:r w:rsidRPr="008B4883">
              <w:rPr>
                <w:sz w:val="16"/>
                <w:szCs w:val="16"/>
              </w:rPr>
              <w:t xml:space="preserve"> the granting of options to non-executive directors when there is no compelling rationale from the company to support, as </w:t>
            </w:r>
            <w:r w:rsidR="004F11CF">
              <w:rPr>
                <w:sz w:val="16"/>
                <w:szCs w:val="16"/>
              </w:rPr>
              <w:t>they</w:t>
            </w:r>
            <w:r w:rsidRPr="008B4883">
              <w:rPr>
                <w:sz w:val="16"/>
                <w:szCs w:val="16"/>
              </w:rPr>
              <w:t xml:space="preserve"> feel payment in options can significantly undermine a director's independence. In addition, payment in options is not consistent with market practice in Australia</w:t>
            </w:r>
            <w:r w:rsidR="004F11CF">
              <w:rPr>
                <w:sz w:val="16"/>
                <w:szCs w:val="16"/>
              </w:rPr>
              <w:t>, in which the company is based</w:t>
            </w:r>
            <w:r w:rsidRPr="008B4883">
              <w:rPr>
                <w:sz w:val="16"/>
                <w:szCs w:val="16"/>
              </w:rPr>
              <w:t xml:space="preserve">. </w:t>
            </w:r>
            <w:r w:rsidR="004F11CF">
              <w:rPr>
                <w:sz w:val="16"/>
                <w:szCs w:val="16"/>
              </w:rPr>
              <w:t>Baillie Gifford</w:t>
            </w:r>
            <w:r w:rsidRPr="008B4883">
              <w:rPr>
                <w:sz w:val="16"/>
                <w:szCs w:val="16"/>
              </w:rPr>
              <w:t xml:space="preserve"> plan to communicate </w:t>
            </w:r>
            <w:r w:rsidR="004F11CF">
              <w:rPr>
                <w:sz w:val="16"/>
                <w:szCs w:val="16"/>
              </w:rPr>
              <w:t>their</w:t>
            </w:r>
            <w:r w:rsidRPr="008B4883">
              <w:rPr>
                <w:sz w:val="16"/>
                <w:szCs w:val="16"/>
              </w:rPr>
              <w:t xml:space="preserve"> decision with the company at the next engagement opportunity. </w:t>
            </w:r>
            <w:r w:rsidR="004F11CF">
              <w:rPr>
                <w:sz w:val="16"/>
                <w:szCs w:val="16"/>
              </w:rPr>
              <w:t>Baillie Gifford</w:t>
            </w:r>
            <w:r w:rsidRPr="008B4883">
              <w:rPr>
                <w:sz w:val="16"/>
                <w:szCs w:val="16"/>
              </w:rPr>
              <w:t xml:space="preserve"> will look to encourage them to remunerate independent directors through a fixed annual fee.</w:t>
            </w:r>
          </w:p>
        </w:tc>
      </w:tr>
      <w:tr w:rsidR="00355EC7" w:rsidRPr="00AF653A" w14:paraId="47F1F357" w14:textId="77777777" w:rsidTr="00AF653A">
        <w:trPr>
          <w:cnfStyle w:val="000000010000" w:firstRow="0" w:lastRow="0" w:firstColumn="0" w:lastColumn="0" w:oddVBand="0" w:evenVBand="0" w:oddHBand="0" w:evenHBand="1" w:firstRowFirstColumn="0" w:firstRowLastColumn="0" w:lastRowFirstColumn="0" w:lastRowLastColumn="0"/>
          <w:trHeight w:val="21"/>
        </w:trPr>
        <w:tc>
          <w:tcPr>
            <w:tcW w:w="2480" w:type="dxa"/>
          </w:tcPr>
          <w:p w14:paraId="3CB90396" w14:textId="134AA7A5" w:rsidR="00355EC7" w:rsidRPr="007F4127" w:rsidRDefault="00355EC7" w:rsidP="00355EC7">
            <w:pPr>
              <w:pStyle w:val="BodyText"/>
              <w:spacing w:after="0"/>
              <w:jc w:val="left"/>
              <w:rPr>
                <w:b/>
                <w:sz w:val="16"/>
              </w:rPr>
            </w:pPr>
            <w:r>
              <w:rPr>
                <w:b/>
                <w:sz w:val="16"/>
              </w:rPr>
              <w:t xml:space="preserve">Criteria on which the vote is considered “significant” </w:t>
            </w:r>
          </w:p>
        </w:tc>
        <w:tc>
          <w:tcPr>
            <w:tcW w:w="2481" w:type="dxa"/>
            <w:vAlign w:val="top"/>
          </w:tcPr>
          <w:p w14:paraId="20CB6809" w14:textId="086EFC47" w:rsidR="00355EC7" w:rsidRPr="00AF653A" w:rsidRDefault="008B4883" w:rsidP="00355EC7">
            <w:pPr>
              <w:pStyle w:val="BodyText"/>
              <w:spacing w:after="0"/>
              <w:jc w:val="center"/>
              <w:rPr>
                <w:sz w:val="16"/>
                <w:szCs w:val="16"/>
              </w:rPr>
            </w:pPr>
            <w:r w:rsidRPr="008B4883">
              <w:rPr>
                <w:sz w:val="16"/>
                <w:szCs w:val="16"/>
              </w:rPr>
              <w:t>This resolution is significant because it was submitted by shareholders and received greater than 20% support.</w:t>
            </w:r>
          </w:p>
        </w:tc>
        <w:tc>
          <w:tcPr>
            <w:tcW w:w="2481" w:type="dxa"/>
            <w:vAlign w:val="top"/>
          </w:tcPr>
          <w:p w14:paraId="3662F33E" w14:textId="5ACA2DAF" w:rsidR="00355EC7" w:rsidRPr="00AF653A" w:rsidRDefault="008B4883" w:rsidP="00355EC7">
            <w:pPr>
              <w:pStyle w:val="BodyText"/>
              <w:spacing w:after="0"/>
              <w:jc w:val="center"/>
              <w:rPr>
                <w:sz w:val="16"/>
                <w:szCs w:val="16"/>
              </w:rPr>
            </w:pPr>
            <w:r w:rsidRPr="008B4883">
              <w:rPr>
                <w:sz w:val="16"/>
                <w:szCs w:val="16"/>
              </w:rPr>
              <w:t>This resolution is significant because it was submitted by shareholders and received greater than 20% support.</w:t>
            </w:r>
          </w:p>
        </w:tc>
        <w:tc>
          <w:tcPr>
            <w:tcW w:w="2481" w:type="dxa"/>
            <w:vAlign w:val="top"/>
          </w:tcPr>
          <w:p w14:paraId="0D1A606D" w14:textId="7A021468" w:rsidR="00355EC7" w:rsidRPr="00AF653A" w:rsidRDefault="008B4883" w:rsidP="00355EC7">
            <w:pPr>
              <w:pStyle w:val="BodyText"/>
              <w:spacing w:after="0"/>
              <w:jc w:val="center"/>
              <w:rPr>
                <w:sz w:val="16"/>
                <w:szCs w:val="16"/>
              </w:rPr>
            </w:pPr>
            <w:r w:rsidRPr="008B4883">
              <w:rPr>
                <w:sz w:val="16"/>
                <w:szCs w:val="16"/>
              </w:rPr>
              <w:t>This resolution is significant because it received greater than 20% opposition.</w:t>
            </w:r>
          </w:p>
        </w:tc>
      </w:tr>
    </w:tbl>
    <w:p w14:paraId="1BBD0FF8" w14:textId="362BE12B" w:rsidR="001D606F" w:rsidRDefault="001D606F" w:rsidP="007942A6">
      <w:pPr>
        <w:pStyle w:val="Heading3"/>
        <w:spacing w:after="240"/>
      </w:pPr>
      <w:r>
        <w:t>Fund level engagement</w:t>
      </w:r>
    </w:p>
    <w:p w14:paraId="4C6A0A1C" w14:textId="1C29786F" w:rsidR="0027739B" w:rsidRPr="0027739B" w:rsidRDefault="0014538E" w:rsidP="0027739B">
      <w:pPr>
        <w:pStyle w:val="BodyText"/>
      </w:pPr>
      <w:r w:rsidRPr="0014538E">
        <w:rPr>
          <w:szCs w:val="24"/>
          <w:lang w:val="en-US" w:bidi="en-US"/>
        </w:rPr>
        <w:t>The Scheme’s investment manager may engage with their investee companies on behalf of the Trustee</w:t>
      </w:r>
      <w:r w:rsidR="00B84666">
        <w:rPr>
          <w:szCs w:val="24"/>
          <w:lang w:val="en-US" w:bidi="en-US"/>
        </w:rPr>
        <w:t>s</w:t>
      </w:r>
      <w:r w:rsidRPr="0014538E">
        <w:rPr>
          <w:szCs w:val="24"/>
          <w:lang w:val="en-US" w:bidi="en-US"/>
        </w:rPr>
        <w:t xml:space="preserve">. The table below provides a summary of the engagement activity undertaken by the Scheme’s investment manager within each fund.  The information is given over the year to 31 </w:t>
      </w:r>
      <w:r w:rsidR="00B84666">
        <w:rPr>
          <w:szCs w:val="24"/>
          <w:lang w:val="en-US" w:bidi="en-US"/>
        </w:rPr>
        <w:t>March 2022</w:t>
      </w:r>
      <w:r w:rsidR="0041548E">
        <w:rPr>
          <w:szCs w:val="24"/>
          <w:lang w:val="en-US" w:bidi="en-US"/>
        </w:rPr>
        <w:t xml:space="preserve"> where available</w:t>
      </w:r>
      <w:r w:rsidR="00BC09F3">
        <w:rPr>
          <w:szCs w:val="24"/>
          <w:lang w:val="en-US" w:bidi="en-US"/>
        </w:rPr>
        <w:t>.</w:t>
      </w:r>
      <w:r w:rsidR="00B84666">
        <w:rPr>
          <w:szCs w:val="24"/>
          <w:lang w:val="en-US" w:bidi="en-US"/>
        </w:rPr>
        <w:t xml:space="preserve"> </w:t>
      </w:r>
    </w:p>
    <w:tbl>
      <w:tblPr>
        <w:tblStyle w:val="bwTable"/>
        <w:tblW w:w="4992" w:type="pct"/>
        <w:tblInd w:w="10" w:type="dxa"/>
        <w:tblLook w:val="04A0" w:firstRow="1" w:lastRow="0" w:firstColumn="1" w:lastColumn="0" w:noHBand="0" w:noVBand="1"/>
      </w:tblPr>
      <w:tblGrid>
        <w:gridCol w:w="2828"/>
        <w:gridCol w:w="2340"/>
        <w:gridCol w:w="2340"/>
        <w:gridCol w:w="2342"/>
      </w:tblGrid>
      <w:tr w:rsidR="0093531A" w:rsidRPr="007F4127" w14:paraId="7A8CFB7B" w14:textId="48E0B2C9" w:rsidTr="00BC09F3">
        <w:trPr>
          <w:cnfStyle w:val="100000000000" w:firstRow="1" w:lastRow="0" w:firstColumn="0" w:lastColumn="0" w:oddVBand="0" w:evenVBand="0" w:oddHBand="0" w:evenHBand="0" w:firstRowFirstColumn="0" w:firstRowLastColumn="0" w:lastRowFirstColumn="0" w:lastRowLastColumn="0"/>
        </w:trPr>
        <w:tc>
          <w:tcPr>
            <w:tcW w:w="1435" w:type="pct"/>
          </w:tcPr>
          <w:p w14:paraId="6598D8E3" w14:textId="77777777" w:rsidR="0093531A" w:rsidRPr="007F4127" w:rsidRDefault="0093531A" w:rsidP="00123191">
            <w:pPr>
              <w:pStyle w:val="BodyText"/>
              <w:spacing w:after="0"/>
              <w:jc w:val="left"/>
              <w:rPr>
                <w:b/>
                <w:sz w:val="16"/>
              </w:rPr>
            </w:pPr>
            <w:r w:rsidRPr="007F4127">
              <w:rPr>
                <w:b/>
                <w:sz w:val="16"/>
              </w:rPr>
              <w:t>Fund name</w:t>
            </w:r>
          </w:p>
        </w:tc>
        <w:tc>
          <w:tcPr>
            <w:tcW w:w="1188" w:type="pct"/>
          </w:tcPr>
          <w:p w14:paraId="33C578D9" w14:textId="2A52D775" w:rsidR="0093531A" w:rsidRPr="007F4127" w:rsidRDefault="0093531A" w:rsidP="00123191">
            <w:pPr>
              <w:pStyle w:val="BodyText"/>
              <w:spacing w:after="0"/>
              <w:jc w:val="center"/>
              <w:rPr>
                <w:sz w:val="16"/>
              </w:rPr>
            </w:pPr>
            <w:r>
              <w:rPr>
                <w:sz w:val="16"/>
              </w:rPr>
              <w:t>Diversified Growth Fund</w:t>
            </w:r>
          </w:p>
        </w:tc>
        <w:tc>
          <w:tcPr>
            <w:tcW w:w="1188" w:type="pct"/>
          </w:tcPr>
          <w:p w14:paraId="39B9E464" w14:textId="4255B46C" w:rsidR="0093531A" w:rsidRPr="007F4127" w:rsidRDefault="0093531A" w:rsidP="00123191">
            <w:pPr>
              <w:pStyle w:val="BodyText"/>
              <w:spacing w:after="0"/>
              <w:jc w:val="center"/>
              <w:rPr>
                <w:sz w:val="16"/>
              </w:rPr>
            </w:pPr>
            <w:r>
              <w:rPr>
                <w:sz w:val="16"/>
              </w:rPr>
              <w:t>Managed Fund</w:t>
            </w:r>
          </w:p>
        </w:tc>
        <w:tc>
          <w:tcPr>
            <w:tcW w:w="1188" w:type="pct"/>
          </w:tcPr>
          <w:p w14:paraId="6F379F69" w14:textId="2B519208" w:rsidR="0093531A" w:rsidRDefault="0093531A" w:rsidP="00123191">
            <w:pPr>
              <w:pStyle w:val="BodyText"/>
              <w:spacing w:after="0"/>
              <w:jc w:val="center"/>
              <w:rPr>
                <w:sz w:val="16"/>
              </w:rPr>
            </w:pPr>
            <w:r>
              <w:rPr>
                <w:sz w:val="16"/>
              </w:rPr>
              <w:t>Investment Grade Long Bond Fund</w:t>
            </w:r>
          </w:p>
        </w:tc>
      </w:tr>
      <w:tr w:rsidR="0093531A" w:rsidRPr="007F4127" w14:paraId="07E7DA08" w14:textId="43EB698B" w:rsidTr="00BC09F3">
        <w:trPr>
          <w:cnfStyle w:val="000000100000" w:firstRow="0" w:lastRow="0" w:firstColumn="0" w:lastColumn="0" w:oddVBand="0" w:evenVBand="0" w:oddHBand="1" w:evenHBand="0" w:firstRowFirstColumn="0" w:firstRowLastColumn="0" w:lastRowFirstColumn="0" w:lastRowLastColumn="0"/>
        </w:trPr>
        <w:tc>
          <w:tcPr>
            <w:tcW w:w="1435" w:type="pct"/>
          </w:tcPr>
          <w:p w14:paraId="0D989F17" w14:textId="02FDE3F1" w:rsidR="0093531A" w:rsidRPr="007F4127" w:rsidRDefault="0093531A" w:rsidP="001919F9">
            <w:pPr>
              <w:pStyle w:val="BodyText"/>
              <w:spacing w:after="0"/>
              <w:jc w:val="left"/>
              <w:rPr>
                <w:b/>
                <w:sz w:val="16"/>
              </w:rPr>
            </w:pPr>
            <w:r>
              <w:rPr>
                <w:b/>
                <w:sz w:val="16"/>
              </w:rPr>
              <w:t>Does the manager perform engagement on behalf of the holdings of the fund</w:t>
            </w:r>
          </w:p>
        </w:tc>
        <w:tc>
          <w:tcPr>
            <w:tcW w:w="1188" w:type="pct"/>
          </w:tcPr>
          <w:p w14:paraId="331BDD25" w14:textId="5A5FD799" w:rsidR="0093531A" w:rsidRPr="007F4127" w:rsidRDefault="0093531A" w:rsidP="001D606F">
            <w:pPr>
              <w:pStyle w:val="BodyText"/>
              <w:spacing w:after="0"/>
              <w:jc w:val="center"/>
              <w:rPr>
                <w:sz w:val="16"/>
              </w:rPr>
            </w:pPr>
            <w:r>
              <w:rPr>
                <w:sz w:val="16"/>
              </w:rPr>
              <w:t>Yes</w:t>
            </w:r>
          </w:p>
        </w:tc>
        <w:tc>
          <w:tcPr>
            <w:tcW w:w="1188" w:type="pct"/>
          </w:tcPr>
          <w:p w14:paraId="4EFF993A" w14:textId="6DF65199" w:rsidR="0093531A" w:rsidRPr="007F4127" w:rsidRDefault="0093531A" w:rsidP="00123191">
            <w:pPr>
              <w:pStyle w:val="BodyText"/>
              <w:spacing w:after="0"/>
              <w:jc w:val="center"/>
              <w:rPr>
                <w:sz w:val="16"/>
              </w:rPr>
            </w:pPr>
            <w:r>
              <w:rPr>
                <w:sz w:val="16"/>
              </w:rPr>
              <w:t>Yes</w:t>
            </w:r>
          </w:p>
        </w:tc>
        <w:tc>
          <w:tcPr>
            <w:tcW w:w="1188" w:type="pct"/>
          </w:tcPr>
          <w:p w14:paraId="393CD0A3" w14:textId="2B144988" w:rsidR="0093531A" w:rsidRDefault="0093531A" w:rsidP="00123191">
            <w:pPr>
              <w:pStyle w:val="BodyText"/>
              <w:spacing w:after="0"/>
              <w:jc w:val="center"/>
              <w:rPr>
                <w:sz w:val="16"/>
              </w:rPr>
            </w:pPr>
            <w:r>
              <w:rPr>
                <w:sz w:val="16"/>
              </w:rPr>
              <w:t>Yes</w:t>
            </w:r>
          </w:p>
        </w:tc>
      </w:tr>
      <w:tr w:rsidR="0093531A" w:rsidRPr="007F4127" w14:paraId="4BE70E59" w14:textId="6D1CE091" w:rsidTr="00BC09F3">
        <w:trPr>
          <w:cnfStyle w:val="000000010000" w:firstRow="0" w:lastRow="0" w:firstColumn="0" w:lastColumn="0" w:oddVBand="0" w:evenVBand="0" w:oddHBand="0" w:evenHBand="1" w:firstRowFirstColumn="0" w:firstRowLastColumn="0" w:lastRowFirstColumn="0" w:lastRowLastColumn="0"/>
        </w:trPr>
        <w:tc>
          <w:tcPr>
            <w:tcW w:w="1435" w:type="pct"/>
          </w:tcPr>
          <w:p w14:paraId="57ED2405" w14:textId="5EEB8128" w:rsidR="0093531A" w:rsidRDefault="0093531A" w:rsidP="001919F9">
            <w:pPr>
              <w:pStyle w:val="BodyText"/>
              <w:spacing w:after="0"/>
              <w:jc w:val="left"/>
              <w:rPr>
                <w:b/>
                <w:sz w:val="16"/>
              </w:rPr>
            </w:pPr>
            <w:r>
              <w:rPr>
                <w:b/>
                <w:sz w:val="16"/>
              </w:rPr>
              <w:t>Has the manager engaged with companies to influence them in relation to ESG factors in the year?</w:t>
            </w:r>
          </w:p>
        </w:tc>
        <w:tc>
          <w:tcPr>
            <w:tcW w:w="1188" w:type="pct"/>
          </w:tcPr>
          <w:p w14:paraId="3F8BA5DD" w14:textId="4C1AA2E6" w:rsidR="0093531A" w:rsidRPr="007F4127" w:rsidRDefault="0093531A" w:rsidP="001D606F">
            <w:pPr>
              <w:pStyle w:val="BodyText"/>
              <w:spacing w:after="0"/>
              <w:jc w:val="center"/>
              <w:rPr>
                <w:sz w:val="16"/>
              </w:rPr>
            </w:pPr>
            <w:r>
              <w:rPr>
                <w:sz w:val="16"/>
              </w:rPr>
              <w:t>Yes</w:t>
            </w:r>
          </w:p>
        </w:tc>
        <w:tc>
          <w:tcPr>
            <w:tcW w:w="1188" w:type="pct"/>
          </w:tcPr>
          <w:p w14:paraId="6B66E527" w14:textId="32707CAB" w:rsidR="0093531A" w:rsidRPr="007F4127" w:rsidRDefault="0093531A" w:rsidP="00123191">
            <w:pPr>
              <w:pStyle w:val="BodyText"/>
              <w:spacing w:after="0"/>
              <w:jc w:val="center"/>
              <w:rPr>
                <w:sz w:val="16"/>
              </w:rPr>
            </w:pPr>
            <w:r>
              <w:rPr>
                <w:sz w:val="16"/>
              </w:rPr>
              <w:t>Yes</w:t>
            </w:r>
          </w:p>
        </w:tc>
        <w:tc>
          <w:tcPr>
            <w:tcW w:w="1188" w:type="pct"/>
          </w:tcPr>
          <w:p w14:paraId="07E01556" w14:textId="19717D21" w:rsidR="0093531A" w:rsidRDefault="0093531A" w:rsidP="00123191">
            <w:pPr>
              <w:pStyle w:val="BodyText"/>
              <w:spacing w:after="0"/>
              <w:jc w:val="center"/>
              <w:rPr>
                <w:sz w:val="16"/>
              </w:rPr>
            </w:pPr>
            <w:r>
              <w:rPr>
                <w:sz w:val="16"/>
              </w:rPr>
              <w:t>Yes</w:t>
            </w:r>
          </w:p>
        </w:tc>
      </w:tr>
      <w:tr w:rsidR="0093531A" w:rsidRPr="007F4127" w14:paraId="5B2DB137" w14:textId="3A9F450E" w:rsidTr="00BC09F3">
        <w:trPr>
          <w:cnfStyle w:val="000000100000" w:firstRow="0" w:lastRow="0" w:firstColumn="0" w:lastColumn="0" w:oddVBand="0" w:evenVBand="0" w:oddHBand="1" w:evenHBand="0" w:firstRowFirstColumn="0" w:firstRowLastColumn="0" w:lastRowFirstColumn="0" w:lastRowLastColumn="0"/>
        </w:trPr>
        <w:tc>
          <w:tcPr>
            <w:tcW w:w="1435" w:type="pct"/>
          </w:tcPr>
          <w:p w14:paraId="7D9AB777" w14:textId="32C3EDA4" w:rsidR="0093531A" w:rsidRDefault="0093531A" w:rsidP="001919F9">
            <w:pPr>
              <w:pStyle w:val="BodyText"/>
              <w:spacing w:after="0"/>
              <w:jc w:val="left"/>
              <w:rPr>
                <w:b/>
                <w:sz w:val="16"/>
              </w:rPr>
            </w:pPr>
            <w:r>
              <w:rPr>
                <w:b/>
                <w:sz w:val="16"/>
              </w:rPr>
              <w:t>Number of</w:t>
            </w:r>
            <w:r w:rsidRPr="001D606F">
              <w:rPr>
                <w:b/>
                <w:sz w:val="16"/>
              </w:rPr>
              <w:t xml:space="preserve"> engagements undertaken on behalf of the holdings in this fund in the year</w:t>
            </w:r>
          </w:p>
        </w:tc>
        <w:tc>
          <w:tcPr>
            <w:tcW w:w="1188" w:type="pct"/>
          </w:tcPr>
          <w:p w14:paraId="337D4AE4" w14:textId="4F32E4B5" w:rsidR="0093531A" w:rsidRPr="007F4127" w:rsidRDefault="0093531A" w:rsidP="001D606F">
            <w:pPr>
              <w:pStyle w:val="BodyText"/>
              <w:spacing w:after="0"/>
              <w:jc w:val="center"/>
              <w:rPr>
                <w:sz w:val="16"/>
              </w:rPr>
            </w:pPr>
            <w:r>
              <w:rPr>
                <w:sz w:val="16"/>
              </w:rPr>
              <w:t>43</w:t>
            </w:r>
            <w:r w:rsidR="00D815C1">
              <w:rPr>
                <w:sz w:val="16"/>
              </w:rPr>
              <w:t xml:space="preserve"> *</w:t>
            </w:r>
          </w:p>
        </w:tc>
        <w:tc>
          <w:tcPr>
            <w:tcW w:w="1188" w:type="pct"/>
          </w:tcPr>
          <w:p w14:paraId="68AECDA4" w14:textId="2C1533A4" w:rsidR="0093531A" w:rsidRPr="007F4127" w:rsidRDefault="0093531A" w:rsidP="00123191">
            <w:pPr>
              <w:pStyle w:val="BodyText"/>
              <w:spacing w:after="0"/>
              <w:jc w:val="center"/>
              <w:rPr>
                <w:sz w:val="16"/>
              </w:rPr>
            </w:pPr>
            <w:r>
              <w:rPr>
                <w:sz w:val="16"/>
              </w:rPr>
              <w:t>179</w:t>
            </w:r>
            <w:r w:rsidR="00D815C1">
              <w:rPr>
                <w:sz w:val="16"/>
              </w:rPr>
              <w:t xml:space="preserve"> *</w:t>
            </w:r>
          </w:p>
        </w:tc>
        <w:tc>
          <w:tcPr>
            <w:tcW w:w="1188" w:type="pct"/>
          </w:tcPr>
          <w:p w14:paraId="0B290880" w14:textId="682E14DA" w:rsidR="0093531A" w:rsidRPr="00AD7CFA" w:rsidRDefault="00D815C1" w:rsidP="00123191">
            <w:pPr>
              <w:pStyle w:val="BodyText"/>
              <w:spacing w:after="0"/>
              <w:jc w:val="center"/>
              <w:rPr>
                <w:i/>
                <w:iCs/>
                <w:sz w:val="16"/>
              </w:rPr>
            </w:pPr>
            <w:r>
              <w:rPr>
                <w:i/>
                <w:iCs/>
                <w:sz w:val="16"/>
              </w:rPr>
              <w:t>Not available for entire period;</w:t>
            </w:r>
            <w:r>
              <w:rPr>
                <w:i/>
                <w:iCs/>
                <w:sz w:val="16"/>
              </w:rPr>
              <w:br/>
              <w:t>4 for Q1 2022</w:t>
            </w:r>
          </w:p>
        </w:tc>
      </w:tr>
      <w:tr w:rsidR="00364C5C" w:rsidRPr="007F4127" w14:paraId="623AD673" w14:textId="4037C4E2" w:rsidTr="00BC09F3">
        <w:trPr>
          <w:cnfStyle w:val="000000010000" w:firstRow="0" w:lastRow="0" w:firstColumn="0" w:lastColumn="0" w:oddVBand="0" w:evenVBand="0" w:oddHBand="0" w:evenHBand="1" w:firstRowFirstColumn="0" w:firstRowLastColumn="0" w:lastRowFirstColumn="0" w:lastRowLastColumn="0"/>
        </w:trPr>
        <w:tc>
          <w:tcPr>
            <w:tcW w:w="1435" w:type="pct"/>
          </w:tcPr>
          <w:p w14:paraId="40C44B16" w14:textId="3FA98295" w:rsidR="00364C5C" w:rsidRDefault="00364C5C" w:rsidP="001919F9">
            <w:pPr>
              <w:pStyle w:val="BodyText"/>
              <w:spacing w:after="0"/>
              <w:jc w:val="left"/>
              <w:rPr>
                <w:b/>
                <w:sz w:val="16"/>
              </w:rPr>
            </w:pPr>
            <w:r w:rsidRPr="003817F0">
              <w:rPr>
                <w:b/>
                <w:sz w:val="16"/>
              </w:rPr>
              <w:t>Number of engagements undertaken at a firm level in the year</w:t>
            </w:r>
          </w:p>
        </w:tc>
        <w:tc>
          <w:tcPr>
            <w:tcW w:w="3565" w:type="pct"/>
            <w:gridSpan w:val="3"/>
          </w:tcPr>
          <w:p w14:paraId="3688D64A" w14:textId="203C720B" w:rsidR="00364C5C" w:rsidRDefault="00364C5C" w:rsidP="00123191">
            <w:pPr>
              <w:pStyle w:val="BodyText"/>
              <w:spacing w:after="0"/>
              <w:jc w:val="center"/>
              <w:rPr>
                <w:sz w:val="16"/>
              </w:rPr>
            </w:pPr>
            <w:r>
              <w:rPr>
                <w:sz w:val="16"/>
              </w:rPr>
              <w:t>491</w:t>
            </w:r>
          </w:p>
        </w:tc>
      </w:tr>
    </w:tbl>
    <w:p w14:paraId="150EB8A1" w14:textId="5EF7E4F0" w:rsidR="0075748D" w:rsidRDefault="003D7268">
      <w:pPr>
        <w:spacing w:after="200" w:line="276" w:lineRule="auto"/>
        <w:rPr>
          <w:bCs/>
          <w:i/>
          <w:iCs/>
          <w:sz w:val="16"/>
          <w:szCs w:val="16"/>
          <w:lang w:val="en-GB" w:bidi="ar-SA"/>
        </w:rPr>
      </w:pPr>
      <w:r>
        <w:rPr>
          <w:bCs/>
          <w:i/>
          <w:iCs/>
          <w:sz w:val="16"/>
          <w:szCs w:val="16"/>
          <w:lang w:val="en-GB" w:bidi="ar-SA"/>
        </w:rPr>
        <w:t>*</w:t>
      </w:r>
      <w:r w:rsidR="00CE28E1">
        <w:rPr>
          <w:bCs/>
          <w:i/>
          <w:iCs/>
          <w:sz w:val="16"/>
          <w:szCs w:val="16"/>
          <w:lang w:val="en-GB" w:bidi="ar-SA"/>
        </w:rPr>
        <w:t>Data over the year to 31 March 2022 is not available</w:t>
      </w:r>
      <w:r w:rsidR="00A11F77">
        <w:rPr>
          <w:bCs/>
          <w:i/>
          <w:iCs/>
          <w:sz w:val="16"/>
          <w:szCs w:val="16"/>
          <w:lang w:val="en-GB" w:bidi="ar-SA"/>
        </w:rPr>
        <w:t xml:space="preserve"> at the fund level</w:t>
      </w:r>
      <w:r w:rsidR="00CE28E1">
        <w:rPr>
          <w:bCs/>
          <w:i/>
          <w:iCs/>
          <w:sz w:val="16"/>
          <w:szCs w:val="16"/>
          <w:lang w:val="en-GB" w:bidi="ar-SA"/>
        </w:rPr>
        <w:t>. The figures stated here are over the year to 31 December 2021.</w:t>
      </w:r>
    </w:p>
    <w:p w14:paraId="6D29F153" w14:textId="0A854B6A" w:rsidR="0075748D" w:rsidRDefault="0075748D" w:rsidP="0075748D">
      <w:pPr>
        <w:pStyle w:val="Heading3"/>
      </w:pPr>
      <w:r w:rsidRPr="00506954">
        <w:lastRenderedPageBreak/>
        <w:t>Examples of engagement</w:t>
      </w:r>
      <w:r>
        <w:t xml:space="preserve"> activities</w:t>
      </w:r>
      <w:r w:rsidRPr="00506954">
        <w:t xml:space="preserve"> undertaken </w:t>
      </w:r>
      <w:r>
        <w:t>over the year to 31 March 2022</w:t>
      </w:r>
    </w:p>
    <w:tbl>
      <w:tblPr>
        <w:tblStyle w:val="bwTable"/>
        <w:tblW w:w="5005" w:type="pct"/>
        <w:tblInd w:w="-5" w:type="dxa"/>
        <w:tblLook w:val="04A0" w:firstRow="1" w:lastRow="0" w:firstColumn="1" w:lastColumn="0" w:noHBand="0" w:noVBand="1"/>
      </w:tblPr>
      <w:tblGrid>
        <w:gridCol w:w="2412"/>
        <w:gridCol w:w="7464"/>
      </w:tblGrid>
      <w:tr w:rsidR="0075748D" w:rsidRPr="007F4127" w14:paraId="1AB778B9" w14:textId="77777777" w:rsidTr="007272F1">
        <w:trPr>
          <w:cnfStyle w:val="100000000000" w:firstRow="1" w:lastRow="0" w:firstColumn="0" w:lastColumn="0" w:oddVBand="0" w:evenVBand="0" w:oddHBand="0" w:evenHBand="0" w:firstRowFirstColumn="0" w:firstRowLastColumn="0" w:lastRowFirstColumn="0" w:lastRowLastColumn="0"/>
          <w:tblHeader/>
        </w:trPr>
        <w:tc>
          <w:tcPr>
            <w:tcW w:w="1221" w:type="pct"/>
            <w:tcBorders>
              <w:top w:val="single" w:sz="4" w:space="0" w:color="009FE3" w:themeColor="background2"/>
              <w:bottom w:val="single" w:sz="4" w:space="0" w:color="009FE3" w:themeColor="background2"/>
            </w:tcBorders>
          </w:tcPr>
          <w:p w14:paraId="7D1BF389" w14:textId="77777777" w:rsidR="0075748D" w:rsidRPr="007F4127" w:rsidRDefault="0075748D" w:rsidP="007272F1">
            <w:pPr>
              <w:pStyle w:val="BodyText"/>
              <w:spacing w:after="0"/>
              <w:jc w:val="left"/>
              <w:rPr>
                <w:b/>
                <w:sz w:val="16"/>
              </w:rPr>
            </w:pPr>
            <w:r w:rsidRPr="00DD3C58">
              <w:rPr>
                <w:b/>
                <w:sz w:val="16"/>
              </w:rPr>
              <w:t xml:space="preserve">Manager </w:t>
            </w:r>
          </w:p>
        </w:tc>
        <w:tc>
          <w:tcPr>
            <w:tcW w:w="3779" w:type="pct"/>
            <w:tcBorders>
              <w:top w:val="single" w:sz="4" w:space="0" w:color="009FE3" w:themeColor="background2"/>
              <w:bottom w:val="single" w:sz="4" w:space="0" w:color="009FE3" w:themeColor="background2"/>
            </w:tcBorders>
          </w:tcPr>
          <w:p w14:paraId="345ACEAC" w14:textId="77777777" w:rsidR="0075748D" w:rsidRPr="007F4127" w:rsidRDefault="0075748D" w:rsidP="007272F1">
            <w:pPr>
              <w:pStyle w:val="BodyText"/>
              <w:spacing w:after="0"/>
              <w:jc w:val="left"/>
              <w:rPr>
                <w:b/>
                <w:sz w:val="16"/>
              </w:rPr>
            </w:pPr>
            <w:r>
              <w:rPr>
                <w:b/>
                <w:sz w:val="16"/>
              </w:rPr>
              <w:t>E</w:t>
            </w:r>
            <w:r w:rsidRPr="00DD3C58">
              <w:rPr>
                <w:b/>
                <w:sz w:val="16"/>
              </w:rPr>
              <w:t xml:space="preserve">xample engagements </w:t>
            </w:r>
            <w:r>
              <w:rPr>
                <w:b/>
                <w:sz w:val="16"/>
              </w:rPr>
              <w:t>and engagement themes at firm level</w:t>
            </w:r>
          </w:p>
        </w:tc>
      </w:tr>
      <w:tr w:rsidR="0075748D" w:rsidRPr="00292E18" w14:paraId="57980B4B" w14:textId="77777777" w:rsidTr="007272F1">
        <w:trPr>
          <w:cnfStyle w:val="000000100000" w:firstRow="0" w:lastRow="0" w:firstColumn="0" w:lastColumn="0" w:oddVBand="0" w:evenVBand="0" w:oddHBand="1" w:evenHBand="0" w:firstRowFirstColumn="0" w:firstRowLastColumn="0" w:lastRowFirstColumn="0" w:lastRowLastColumn="0"/>
          <w:trHeight w:val="607"/>
        </w:trPr>
        <w:tc>
          <w:tcPr>
            <w:tcW w:w="1221" w:type="pct"/>
            <w:tcBorders>
              <w:top w:val="single" w:sz="4" w:space="0" w:color="009FE3" w:themeColor="background2"/>
              <w:bottom w:val="single" w:sz="4" w:space="0" w:color="C0C0C0" w:themeColor="accent4"/>
            </w:tcBorders>
          </w:tcPr>
          <w:p w14:paraId="0B9F1BB0" w14:textId="31748257" w:rsidR="0075748D" w:rsidRPr="00771A6A" w:rsidRDefault="0075748D" w:rsidP="007272F1">
            <w:pPr>
              <w:pStyle w:val="BodyText"/>
              <w:spacing w:after="0"/>
              <w:rPr>
                <w:b/>
                <w:sz w:val="16"/>
              </w:rPr>
            </w:pPr>
            <w:r>
              <w:rPr>
                <w:b/>
                <w:sz w:val="16"/>
              </w:rPr>
              <w:t>Baillie Gifford</w:t>
            </w:r>
          </w:p>
        </w:tc>
        <w:tc>
          <w:tcPr>
            <w:tcW w:w="3779" w:type="pct"/>
            <w:tcBorders>
              <w:top w:val="single" w:sz="4" w:space="0" w:color="009FE3" w:themeColor="background2"/>
              <w:bottom w:val="single" w:sz="4" w:space="0" w:color="C0C0C0" w:themeColor="accent4"/>
            </w:tcBorders>
          </w:tcPr>
          <w:p w14:paraId="4CA05742" w14:textId="3A725C37" w:rsidR="005216CA" w:rsidRDefault="00963D2C" w:rsidP="007272F1">
            <w:pPr>
              <w:pStyle w:val="BodyText"/>
              <w:rPr>
                <w:sz w:val="16"/>
              </w:rPr>
            </w:pPr>
            <w:r>
              <w:rPr>
                <w:b/>
                <w:bCs/>
                <w:sz w:val="16"/>
              </w:rPr>
              <w:t xml:space="preserve">Enel: </w:t>
            </w:r>
            <w:r w:rsidR="00BE7648" w:rsidRPr="00BE7648">
              <w:rPr>
                <w:sz w:val="16"/>
              </w:rPr>
              <w:t>Ba</w:t>
            </w:r>
            <w:r w:rsidR="00BE7648">
              <w:rPr>
                <w:sz w:val="16"/>
              </w:rPr>
              <w:t xml:space="preserve">illie Gifford engaged with Enel, an Italian </w:t>
            </w:r>
            <w:r w:rsidR="004864E1">
              <w:rPr>
                <w:sz w:val="16"/>
              </w:rPr>
              <w:t>energy</w:t>
            </w:r>
            <w:r w:rsidR="00BE7648">
              <w:rPr>
                <w:sz w:val="16"/>
              </w:rPr>
              <w:t xml:space="preserve"> manufacturer and distributor, to better understand their role within the energy transition. The company disclosed to Baillie Gifford that one of their key roles is to educate customers on the best source of energy for their</w:t>
            </w:r>
            <w:r w:rsidR="004864E1">
              <w:rPr>
                <w:sz w:val="16"/>
              </w:rPr>
              <w:t xml:space="preserve"> individual</w:t>
            </w:r>
            <w:r w:rsidR="00BE7648">
              <w:rPr>
                <w:sz w:val="16"/>
              </w:rPr>
              <w:t xml:space="preserve"> needs. Enel do this by providing customers with insights into the financial and environment</w:t>
            </w:r>
            <w:r w:rsidR="00735DB9">
              <w:rPr>
                <w:sz w:val="16"/>
              </w:rPr>
              <w:t>al</w:t>
            </w:r>
            <w:r w:rsidR="00BE7648">
              <w:rPr>
                <w:sz w:val="16"/>
              </w:rPr>
              <w:t xml:space="preserve"> benefits of each available energy source. Enel also set ambitious targets, such as a commitment to achieve full decarbonisation by 2040</w:t>
            </w:r>
            <w:r w:rsidR="004864E1">
              <w:rPr>
                <w:sz w:val="16"/>
              </w:rPr>
              <w:t>. This is of particular importance for Enel’s customers who are reliant on utility supplies achieving net zero to facilitate their own net zero targets.</w:t>
            </w:r>
          </w:p>
          <w:p w14:paraId="62C6E60B" w14:textId="77777777" w:rsidR="004E654F" w:rsidRDefault="00963D2C" w:rsidP="007272F1">
            <w:pPr>
              <w:pStyle w:val="BodyText"/>
              <w:rPr>
                <w:sz w:val="16"/>
              </w:rPr>
            </w:pPr>
            <w:r w:rsidRPr="00963D2C">
              <w:rPr>
                <w:b/>
                <w:bCs/>
                <w:sz w:val="16"/>
              </w:rPr>
              <w:t>TwentyFour:</w:t>
            </w:r>
            <w:r>
              <w:rPr>
                <w:sz w:val="16"/>
              </w:rPr>
              <w:t xml:space="preserve"> </w:t>
            </w:r>
            <w:r w:rsidR="004E654F" w:rsidRPr="004E654F">
              <w:rPr>
                <w:sz w:val="16"/>
              </w:rPr>
              <w:t>On 23 September</w:t>
            </w:r>
            <w:r w:rsidR="00735DB9">
              <w:rPr>
                <w:sz w:val="16"/>
              </w:rPr>
              <w:t xml:space="preserve"> 2021</w:t>
            </w:r>
            <w:r w:rsidR="004E654F" w:rsidRPr="004E654F">
              <w:rPr>
                <w:sz w:val="16"/>
              </w:rPr>
              <w:t xml:space="preserve">, </w:t>
            </w:r>
            <w:r w:rsidR="004E654F">
              <w:rPr>
                <w:sz w:val="16"/>
              </w:rPr>
              <w:t>Baillie Gifford</w:t>
            </w:r>
            <w:r w:rsidR="004E654F" w:rsidRPr="004E654F">
              <w:rPr>
                <w:sz w:val="16"/>
              </w:rPr>
              <w:t xml:space="preserve"> met with the investment team </w:t>
            </w:r>
            <w:r w:rsidR="00735DB9">
              <w:rPr>
                <w:sz w:val="16"/>
              </w:rPr>
              <w:t>of the</w:t>
            </w:r>
            <w:r w:rsidR="004E654F" w:rsidRPr="004E654F">
              <w:rPr>
                <w:sz w:val="16"/>
              </w:rPr>
              <w:t xml:space="preserve"> TwentyFour</w:t>
            </w:r>
            <w:r w:rsidR="00735DB9">
              <w:rPr>
                <w:sz w:val="16"/>
              </w:rPr>
              <w:t xml:space="preserve"> Income Fund. </w:t>
            </w:r>
            <w:r w:rsidR="004E654F" w:rsidRPr="004E654F">
              <w:rPr>
                <w:sz w:val="16"/>
              </w:rPr>
              <w:t>This</w:t>
            </w:r>
            <w:r w:rsidR="00735DB9">
              <w:rPr>
                <w:sz w:val="16"/>
              </w:rPr>
              <w:t xml:space="preserve"> fund</w:t>
            </w:r>
            <w:r w:rsidR="004E654F" w:rsidRPr="004E654F">
              <w:rPr>
                <w:sz w:val="16"/>
              </w:rPr>
              <w:t xml:space="preserve"> is a closed-ended fixed income mutual fund, managed by TwentyFour Asset Management LLP, investing in the fixed income markets of Europe. During </w:t>
            </w:r>
            <w:r w:rsidR="00735DB9">
              <w:rPr>
                <w:sz w:val="16"/>
              </w:rPr>
              <w:t xml:space="preserve">the </w:t>
            </w:r>
            <w:r w:rsidR="004E654F" w:rsidRPr="004E654F">
              <w:rPr>
                <w:sz w:val="16"/>
              </w:rPr>
              <w:t xml:space="preserve">meeting, </w:t>
            </w:r>
            <w:r w:rsidR="00735DB9">
              <w:rPr>
                <w:sz w:val="16"/>
              </w:rPr>
              <w:t>TwentyFour</w:t>
            </w:r>
            <w:r w:rsidR="004E654F" w:rsidRPr="004E654F">
              <w:rPr>
                <w:sz w:val="16"/>
              </w:rPr>
              <w:t xml:space="preserve"> discussed its approach to investing in different types of securit</w:t>
            </w:r>
            <w:r w:rsidR="00735DB9">
              <w:rPr>
                <w:sz w:val="16"/>
              </w:rPr>
              <w:t>ies</w:t>
            </w:r>
            <w:r w:rsidR="004E654F" w:rsidRPr="004E654F">
              <w:rPr>
                <w:sz w:val="16"/>
              </w:rPr>
              <w:t xml:space="preserve"> including bonds, asset-backed </w:t>
            </w:r>
            <w:proofErr w:type="gramStart"/>
            <w:r w:rsidR="004E654F" w:rsidRPr="004E654F">
              <w:rPr>
                <w:sz w:val="16"/>
              </w:rPr>
              <w:t>securities</w:t>
            </w:r>
            <w:proofErr w:type="gramEnd"/>
            <w:r w:rsidR="004E654F" w:rsidRPr="004E654F">
              <w:rPr>
                <w:sz w:val="16"/>
              </w:rPr>
              <w:t xml:space="preserve"> and collateralised loan obligations. The challenge the team identified in integrating ESG consistently into the investment process is the lack of ESG disclosure and metrics available for its investment universe. This was a key driver to developing </w:t>
            </w:r>
            <w:r w:rsidR="00735DB9">
              <w:rPr>
                <w:sz w:val="16"/>
              </w:rPr>
              <w:t>TwentyFour AM’s</w:t>
            </w:r>
            <w:r w:rsidR="004E654F" w:rsidRPr="004E654F">
              <w:rPr>
                <w:sz w:val="16"/>
              </w:rPr>
              <w:t xml:space="preserve"> approach, opting not to have a separate ESG team from the outset; the team also use a combination of third party and proprietary ESG scoring to fill the gaps. The explanation of how the process works in practice was consistently supported by relevant ESG scorecard and engagement examples, resulting in a quantitative ESG score for each investment opportunity. </w:t>
            </w:r>
            <w:r w:rsidR="004E654F">
              <w:rPr>
                <w:sz w:val="16"/>
              </w:rPr>
              <w:t>Baillie Gifford</w:t>
            </w:r>
            <w:r w:rsidR="004E654F" w:rsidRPr="004E654F">
              <w:rPr>
                <w:sz w:val="16"/>
              </w:rPr>
              <w:t xml:space="preserve"> enjoyed hearing about the effort the company is putting into its systematic assessment of ESG, its engagement with industry initiatives to try to increase the data availability for its areas of focus and that the investment team each have an annual 20 per cent ESG appraisal objective.</w:t>
            </w:r>
          </w:p>
          <w:p w14:paraId="604BD0D9" w14:textId="0B5378E9" w:rsidR="00AD2D66" w:rsidRPr="00AD2D66" w:rsidRDefault="00AD2D66" w:rsidP="007272F1">
            <w:pPr>
              <w:pStyle w:val="BodyText"/>
              <w:rPr>
                <w:sz w:val="16"/>
              </w:rPr>
            </w:pPr>
            <w:r>
              <w:rPr>
                <w:b/>
                <w:bCs/>
                <w:sz w:val="16"/>
              </w:rPr>
              <w:t>Zoom Video Communications</w:t>
            </w:r>
            <w:r w:rsidR="00651335">
              <w:rPr>
                <w:b/>
                <w:bCs/>
                <w:sz w:val="16"/>
              </w:rPr>
              <w:t xml:space="preserve">: </w:t>
            </w:r>
            <w:r w:rsidR="00651335" w:rsidRPr="00651335">
              <w:rPr>
                <w:sz w:val="16"/>
              </w:rPr>
              <w:t>In September,</w:t>
            </w:r>
            <w:r w:rsidR="00651335">
              <w:rPr>
                <w:b/>
                <w:bCs/>
                <w:sz w:val="16"/>
              </w:rPr>
              <w:t xml:space="preserve"> </w:t>
            </w:r>
            <w:r>
              <w:rPr>
                <w:sz w:val="16"/>
              </w:rPr>
              <w:t xml:space="preserve">Baillie Gifford engaged </w:t>
            </w:r>
            <w:r w:rsidR="00651335">
              <w:rPr>
                <w:sz w:val="16"/>
              </w:rPr>
              <w:t>with Zoom</w:t>
            </w:r>
            <w:r>
              <w:rPr>
                <w:sz w:val="16"/>
              </w:rPr>
              <w:t xml:space="preserve"> to better understand </w:t>
            </w:r>
            <w:r w:rsidR="00651335">
              <w:rPr>
                <w:sz w:val="16"/>
              </w:rPr>
              <w:t>their contribution to climate change</w:t>
            </w:r>
            <w:r>
              <w:rPr>
                <w:sz w:val="16"/>
              </w:rPr>
              <w:t xml:space="preserve">. </w:t>
            </w:r>
            <w:r w:rsidR="0074131F">
              <w:rPr>
                <w:sz w:val="16"/>
              </w:rPr>
              <w:t xml:space="preserve">Zoom </w:t>
            </w:r>
            <w:r>
              <w:rPr>
                <w:sz w:val="16"/>
              </w:rPr>
              <w:t xml:space="preserve">appointed </w:t>
            </w:r>
            <w:r w:rsidR="0074131F">
              <w:rPr>
                <w:sz w:val="16"/>
              </w:rPr>
              <w:t xml:space="preserve">an environmental consultancy to help in their analysis of their carbon emissions and has intentions of sharing the results of this. It is estimated that the use of Zoom has reduced travel, and therefore saved several </w:t>
            </w:r>
            <w:proofErr w:type="spellStart"/>
            <w:r w:rsidR="0074131F">
              <w:rPr>
                <w:sz w:val="16"/>
              </w:rPr>
              <w:t>megatonnes</w:t>
            </w:r>
            <w:proofErr w:type="spellEnd"/>
            <w:r w:rsidR="0074131F">
              <w:rPr>
                <w:sz w:val="16"/>
              </w:rPr>
              <w:t xml:space="preserve"> of carbon dioxide emissions. To complement this analysis, Baillie Gifford </w:t>
            </w:r>
            <w:r w:rsidR="00651335">
              <w:rPr>
                <w:sz w:val="16"/>
              </w:rPr>
              <w:t xml:space="preserve">suggested </w:t>
            </w:r>
            <w:r w:rsidR="0074131F">
              <w:rPr>
                <w:sz w:val="16"/>
              </w:rPr>
              <w:t xml:space="preserve">that users could </w:t>
            </w:r>
            <w:r w:rsidR="00651335">
              <w:rPr>
                <w:sz w:val="16"/>
              </w:rPr>
              <w:t>be surveyed</w:t>
            </w:r>
            <w:r w:rsidR="0074131F">
              <w:rPr>
                <w:sz w:val="16"/>
              </w:rPr>
              <w:t xml:space="preserve"> at the end of each Zoom meeting to ask if the meeting replaced commuting</w:t>
            </w:r>
            <w:r w:rsidR="00651335">
              <w:rPr>
                <w:sz w:val="16"/>
              </w:rPr>
              <w:t xml:space="preserve"> and understand that Zoom are now considering incorporating a survey into Zoom to track this.  Baillie Gifford are committed to monitoring Zoom’s progress in its carbon accounting and disclosures.</w:t>
            </w:r>
          </w:p>
        </w:tc>
      </w:tr>
    </w:tbl>
    <w:p w14:paraId="5960AF17" w14:textId="77777777" w:rsidR="0075748D" w:rsidRDefault="0075748D">
      <w:pPr>
        <w:spacing w:after="200" w:line="276" w:lineRule="auto"/>
        <w:rPr>
          <w:bCs/>
          <w:i/>
          <w:iCs/>
          <w:sz w:val="16"/>
          <w:szCs w:val="16"/>
          <w:lang w:val="en-GB" w:bidi="ar-SA"/>
        </w:rPr>
      </w:pPr>
    </w:p>
    <w:p w14:paraId="299C0E99" w14:textId="77777777" w:rsidR="00C55400" w:rsidRPr="00C14C5B" w:rsidRDefault="00C55400">
      <w:pPr>
        <w:spacing w:after="200" w:line="276" w:lineRule="auto"/>
        <w:rPr>
          <w:bCs/>
          <w:i/>
          <w:iCs/>
          <w:sz w:val="16"/>
          <w:szCs w:val="16"/>
          <w:lang w:val="en-GB" w:bidi="ar-SA"/>
        </w:rPr>
      </w:pPr>
    </w:p>
    <w:sectPr w:rsidR="00C55400" w:rsidRPr="00C14C5B" w:rsidSect="00965216">
      <w:headerReference w:type="default" r:id="rId9"/>
      <w:footerReference w:type="default" r:id="rId10"/>
      <w:pgSz w:w="11906" w:h="16838"/>
      <w:pgMar w:top="2268" w:right="1020" w:bottom="1440" w:left="10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F8A8C" w14:textId="77777777" w:rsidR="0094279F" w:rsidRDefault="0094279F" w:rsidP="00615554">
      <w:r>
        <w:separator/>
      </w:r>
    </w:p>
  </w:endnote>
  <w:endnote w:type="continuationSeparator" w:id="0">
    <w:p w14:paraId="515209D4" w14:textId="77777777" w:rsidR="0094279F" w:rsidRDefault="0094279F" w:rsidP="00615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Roboto Light">
    <w:altName w:val="Roboto Light"/>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0E2D" w14:textId="77777777" w:rsidR="00615554" w:rsidRDefault="00615554" w:rsidP="00615554">
    <w:r w:rsidRPr="004F015E">
      <w:rPr>
        <w:noProof/>
        <w:color w:val="797979"/>
        <w:sz w:val="13"/>
        <w:szCs w:val="13"/>
        <w:lang w:val="en-GB" w:eastAsia="en-GB" w:bidi="ar-SA"/>
      </w:rPr>
      <mc:AlternateContent>
        <mc:Choice Requires="wps">
          <w:drawing>
            <wp:anchor distT="45720" distB="45720" distL="114300" distR="114300" simplePos="0" relativeHeight="251660288" behindDoc="0" locked="0" layoutInCell="1" allowOverlap="1" wp14:anchorId="6CC2D6FE" wp14:editId="1F9EC3EE">
              <wp:simplePos x="0" y="0"/>
              <wp:positionH relativeFrom="margin">
                <wp:align>right</wp:align>
              </wp:positionH>
              <wp:positionV relativeFrom="paragraph">
                <wp:posOffset>635</wp:posOffset>
              </wp:positionV>
              <wp:extent cx="4834890" cy="142875"/>
              <wp:effectExtent l="0" t="0" r="381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890" cy="142875"/>
                      </a:xfrm>
                      <a:prstGeom prst="rect">
                        <a:avLst/>
                      </a:prstGeom>
                      <a:solidFill>
                        <a:srgbClr val="FFFFFF"/>
                      </a:solidFill>
                      <a:ln w="9525">
                        <a:noFill/>
                        <a:miter lim="800000"/>
                        <a:headEnd/>
                        <a:tailEnd/>
                      </a:ln>
                    </wps:spPr>
                    <wps:txbx>
                      <w:txbxContent>
                        <w:p w14:paraId="3AFDED97" w14:textId="72763BEC" w:rsidR="00615554" w:rsidRPr="002C1FBA" w:rsidRDefault="001815E4" w:rsidP="00615554">
                          <w:pPr>
                            <w:jc w:val="right"/>
                            <w:rPr>
                              <w:rFonts w:cs="Segoe UI"/>
                              <w:color w:val="797979"/>
                              <w:sz w:val="12"/>
                              <w:szCs w:val="12"/>
                            </w:rPr>
                          </w:pPr>
                          <w:sdt>
                            <w:sdtPr>
                              <w:rPr>
                                <w:sz w:val="12"/>
                                <w:szCs w:val="12"/>
                              </w:rPr>
                              <w:alias w:val="Client Name"/>
                              <w:tag w:val="Client Name"/>
                              <w:id w:val="1688403083"/>
                              <w:text/>
                            </w:sdtPr>
                            <w:sdtEndPr/>
                            <w:sdtContent>
                              <w:r w:rsidR="00E1481C" w:rsidRPr="00E1481C">
                                <w:rPr>
                                  <w:sz w:val="12"/>
                                  <w:szCs w:val="12"/>
                                </w:rPr>
                                <w:t>T Crossling &amp; Co Limited 1972 Pension and Life Assurance Scheme</w:t>
                              </w:r>
                            </w:sdtContent>
                          </w:sdt>
                          <w:r w:rsidR="00615554" w:rsidRPr="00942AC3">
                            <w:rPr>
                              <w:sz w:val="12"/>
                              <w:szCs w:val="12"/>
                            </w:rPr>
                            <w:t xml:space="preserve">  </w:t>
                          </w:r>
                          <w:r w:rsidR="00615554" w:rsidRPr="00942AC3">
                            <w:rPr>
                              <w:color w:val="009FE3"/>
                              <w:sz w:val="12"/>
                              <w:szCs w:val="12"/>
                            </w:rPr>
                            <w:t xml:space="preserve"> |   </w:t>
                          </w:r>
                          <w:sdt>
                            <w:sdtPr>
                              <w:rPr>
                                <w:sz w:val="12"/>
                                <w:szCs w:val="12"/>
                              </w:rPr>
                              <w:alias w:val="Title"/>
                              <w:tag w:val=""/>
                              <w:id w:val="-632094615"/>
                              <w:dataBinding w:prefixMappings="xmlns:ns0='http://purl.org/dc/elements/1.1/' xmlns:ns1='http://schemas.openxmlformats.org/package/2006/metadata/core-properties' " w:xpath="/ns1:coreProperties[1]/ns0:title[1]" w:storeItemID="{6C3C8BC8-F283-45AE-878A-BAB7291924A1}"/>
                              <w:text/>
                            </w:sdtPr>
                            <w:sdtEndPr/>
                            <w:sdtContent>
                              <w:r w:rsidR="001919F9" w:rsidRPr="00942AC3">
                                <w:rPr>
                                  <w:sz w:val="12"/>
                                  <w:szCs w:val="12"/>
                                </w:rPr>
                                <w:t>Implementation Statement</w:t>
                              </w:r>
                            </w:sdtContent>
                          </w:sdt>
                          <w:r w:rsidR="00615554" w:rsidRPr="00942AC3">
                            <w:rPr>
                              <w:sz w:val="12"/>
                              <w:szCs w:val="12"/>
                            </w:rPr>
                            <w:t xml:space="preserve">   </w:t>
                          </w:r>
                          <w:r w:rsidR="00615554" w:rsidRPr="00942AC3">
                            <w:rPr>
                              <w:color w:val="009FE3"/>
                              <w:sz w:val="12"/>
                              <w:szCs w:val="12"/>
                            </w:rPr>
                            <w:t xml:space="preserve">| </w:t>
                          </w:r>
                          <w:r w:rsidR="00615554" w:rsidRPr="00942AC3">
                            <w:rPr>
                              <w:sz w:val="12"/>
                              <w:szCs w:val="12"/>
                            </w:rPr>
                            <w:t xml:space="preserve"> </w:t>
                          </w:r>
                          <w:r w:rsidR="00615554" w:rsidRPr="00942AC3">
                            <w:rPr>
                              <w:color w:val="797979"/>
                              <w:sz w:val="12"/>
                              <w:szCs w:val="12"/>
                            </w:rPr>
                            <w:t xml:space="preserve"> </w:t>
                          </w:r>
                          <w:sdt>
                            <w:sdtPr>
                              <w:rPr>
                                <w:sz w:val="12"/>
                                <w:szCs w:val="12"/>
                              </w:rPr>
                              <w:alias w:val="Publish Date"/>
                              <w:tag w:val=""/>
                              <w:id w:val="163674104"/>
                              <w:dataBinding w:prefixMappings="xmlns:ns0='http://schemas.microsoft.com/office/2006/coverPageProps' " w:xpath="/ns0:CoverPageProperties[1]/ns0:PublishDate[1]" w:storeItemID="{55AF091B-3C7A-41E3-B477-F2FDAA23CFDA}"/>
                              <w:date w:fullDate="2022-03-31T00:00:00Z">
                                <w:dateFormat w:val="d MMMM yyyy"/>
                                <w:lid w:val="en-GB"/>
                                <w:storeMappedDataAs w:val="dateTime"/>
                                <w:calendar w:val="gregorian"/>
                              </w:date>
                            </w:sdtPr>
                            <w:sdtEndPr/>
                            <w:sdtContent>
                              <w:r w:rsidR="000711C8">
                                <w:rPr>
                                  <w:sz w:val="12"/>
                                  <w:szCs w:val="12"/>
                                  <w:lang w:val="en-GB"/>
                                </w:rPr>
                                <w:t>31 March 2022</w:t>
                              </w:r>
                            </w:sdtContent>
                          </w:sdt>
                        </w:p>
                        <w:p w14:paraId="3A908E00" w14:textId="77777777" w:rsidR="00615554" w:rsidRPr="002C1FBA" w:rsidRDefault="00615554" w:rsidP="00615554">
                          <w:pPr>
                            <w:jc w:val="right"/>
                            <w:rPr>
                              <w:rFonts w:cs="Segoe UI"/>
                              <w:color w:val="797979"/>
                              <w:sz w:val="12"/>
                              <w:szCs w:val="12"/>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C2D6FE" id="_x0000_t202" coordsize="21600,21600" o:spt="202" path="m,l,21600r21600,l21600,xe">
              <v:stroke joinstyle="miter"/>
              <v:path gradientshapeok="t" o:connecttype="rect"/>
            </v:shapetype>
            <v:shape id="Text Box 2" o:spid="_x0000_s1026" type="#_x0000_t202" style="position:absolute;margin-left:329.5pt;margin-top:.05pt;width:380.7pt;height:11.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" stroked="f">
              <v:textbox inset="0,0,0,0">
                <w:txbxContent>
                  <w:p w14:paraId="3AFDED97" w14:textId="72763BEC" w:rsidR="00615554" w:rsidRPr="002C1FBA" w:rsidRDefault="0099398B" w:rsidP="00615554">
                    <w:pPr>
                      <w:jc w:val="right"/>
                      <w:rPr>
                        <w:rFonts w:cs="Segoe UI"/>
                        <w:color w:val="797979"/>
                        <w:sz w:val="12"/>
                        <w:szCs w:val="12"/>
                      </w:rPr>
                    </w:pPr>
                    <w:sdt>
                      <w:sdtPr>
                        <w:rPr>
                          <w:sz w:val="12"/>
                          <w:szCs w:val="12"/>
                        </w:rPr>
                        <w:alias w:val="Client Name"/>
                        <w:tag w:val="Client Name"/>
                        <w:id w:val="1688403083"/>
                        <w:text/>
                      </w:sdtPr>
                      <w:sdtEndPr/>
                      <w:sdtContent>
                        <w:r w:rsidR="00E1481C" w:rsidRPr="00E1481C">
                          <w:rPr>
                            <w:sz w:val="12"/>
                            <w:szCs w:val="12"/>
                          </w:rPr>
                          <w:t>T Crossling &amp; Co Limited 1972 Pension and Life Assurance Scheme</w:t>
                        </w:r>
                      </w:sdtContent>
                    </w:sdt>
                    <w:r w:rsidR="00615554" w:rsidRPr="00942AC3">
                      <w:rPr>
                        <w:sz w:val="12"/>
                        <w:szCs w:val="12"/>
                      </w:rPr>
                      <w:t xml:space="preserve">  </w:t>
                    </w:r>
                    <w:r w:rsidR="00615554" w:rsidRPr="00942AC3">
                      <w:rPr>
                        <w:color w:val="009FE3"/>
                        <w:sz w:val="12"/>
                        <w:szCs w:val="12"/>
                      </w:rPr>
                      <w:t xml:space="preserve"> |   </w:t>
                    </w:r>
                    <w:sdt>
                      <w:sdtPr>
                        <w:rPr>
                          <w:sz w:val="12"/>
                          <w:szCs w:val="12"/>
                        </w:rPr>
                        <w:alias w:val="Title"/>
                        <w:tag w:val=""/>
                        <w:id w:val="-632094615"/>
                        <w:dataBinding w:prefixMappings="xmlns:ns0='http://purl.org/dc/elements/1.1/' xmlns:ns1='http://schemas.openxmlformats.org/package/2006/metadata/core-properties' " w:xpath="/ns1:coreProperties[1]/ns0:title[1]" w:storeItemID="{6C3C8BC8-F283-45AE-878A-BAB7291924A1}"/>
                        <w:text/>
                      </w:sdtPr>
                      <w:sdtEndPr/>
                      <w:sdtContent>
                        <w:r w:rsidR="001919F9" w:rsidRPr="00942AC3">
                          <w:rPr>
                            <w:sz w:val="12"/>
                            <w:szCs w:val="12"/>
                          </w:rPr>
                          <w:t>Implementation Statement</w:t>
                        </w:r>
                      </w:sdtContent>
                    </w:sdt>
                    <w:r w:rsidR="00615554" w:rsidRPr="00942AC3">
                      <w:rPr>
                        <w:sz w:val="12"/>
                        <w:szCs w:val="12"/>
                      </w:rPr>
                      <w:t xml:space="preserve">   </w:t>
                    </w:r>
                    <w:r w:rsidR="00615554" w:rsidRPr="00942AC3">
                      <w:rPr>
                        <w:color w:val="009FE3"/>
                        <w:sz w:val="12"/>
                        <w:szCs w:val="12"/>
                      </w:rPr>
                      <w:t xml:space="preserve">| </w:t>
                    </w:r>
                    <w:r w:rsidR="00615554" w:rsidRPr="00942AC3">
                      <w:rPr>
                        <w:sz w:val="12"/>
                        <w:szCs w:val="12"/>
                      </w:rPr>
                      <w:t xml:space="preserve"> </w:t>
                    </w:r>
                    <w:r w:rsidR="00615554" w:rsidRPr="00942AC3">
                      <w:rPr>
                        <w:color w:val="797979"/>
                        <w:sz w:val="12"/>
                        <w:szCs w:val="12"/>
                      </w:rPr>
                      <w:t xml:space="preserve"> </w:t>
                    </w:r>
                    <w:sdt>
                      <w:sdtPr>
                        <w:rPr>
                          <w:sz w:val="12"/>
                          <w:szCs w:val="12"/>
                        </w:rPr>
                        <w:alias w:val="Publish Date"/>
                        <w:tag w:val=""/>
                        <w:id w:val="163674104"/>
                        <w:dataBinding w:prefixMappings="xmlns:ns0='http://schemas.microsoft.com/office/2006/coverPageProps' " w:xpath="/ns0:CoverPageProperties[1]/ns0:PublishDate[1]" w:storeItemID="{55AF091B-3C7A-41E3-B477-F2FDAA23CFDA}"/>
                        <w:date w:fullDate="2022-03-31T00:00:00Z">
                          <w:dateFormat w:val="d MMMM yyyy"/>
                          <w:lid w:val="en-GB"/>
                          <w:storeMappedDataAs w:val="dateTime"/>
                          <w:calendar w:val="gregorian"/>
                        </w:date>
                      </w:sdtPr>
                      <w:sdtEndPr/>
                      <w:sdtContent>
                        <w:r w:rsidR="000711C8">
                          <w:rPr>
                            <w:sz w:val="12"/>
                            <w:szCs w:val="12"/>
                            <w:lang w:val="en-GB"/>
                          </w:rPr>
                          <w:t>31 March 2022</w:t>
                        </w:r>
                      </w:sdtContent>
                    </w:sdt>
                  </w:p>
                  <w:p w14:paraId="3A908E00" w14:textId="77777777" w:rsidR="00615554" w:rsidRPr="002C1FBA" w:rsidRDefault="00615554" w:rsidP="00615554">
                    <w:pPr>
                      <w:jc w:val="right"/>
                      <w:rPr>
                        <w:rFonts w:cs="Segoe UI"/>
                        <w:color w:val="797979"/>
                        <w:sz w:val="12"/>
                        <w:szCs w:val="12"/>
                      </w:rPr>
                    </w:pPr>
                  </w:p>
                </w:txbxContent>
              </v:textbox>
              <w10:wrap type="square" anchorx="margin"/>
            </v:shape>
          </w:pict>
        </mc:Fallback>
      </mc:AlternateContent>
    </w:r>
  </w:p>
  <w:p w14:paraId="28B8BAC7" w14:textId="6FF44326" w:rsidR="00615554" w:rsidRPr="00615554" w:rsidRDefault="00615554">
    <w:pPr>
      <w:pStyle w:val="Footer"/>
      <w:rPr>
        <w:sz w:val="13"/>
        <w:szCs w:val="13"/>
      </w:rPr>
    </w:pPr>
    <w:r w:rsidRPr="004F015E">
      <w:rPr>
        <w:noProof/>
        <w:color w:val="797979"/>
        <w:sz w:val="13"/>
        <w:szCs w:val="13"/>
        <w:lang w:eastAsia="en-GB"/>
      </w:rPr>
      <mc:AlternateContent>
        <mc:Choice Requires="wps">
          <w:drawing>
            <wp:anchor distT="45720" distB="45720" distL="114300" distR="114300" simplePos="0" relativeHeight="251661312" behindDoc="0" locked="0" layoutInCell="1" allowOverlap="1" wp14:anchorId="763524F6" wp14:editId="6FD7E401">
              <wp:simplePos x="0" y="0"/>
              <wp:positionH relativeFrom="margin">
                <wp:align>right</wp:align>
              </wp:positionH>
              <wp:positionV relativeFrom="paragraph">
                <wp:posOffset>-15240</wp:posOffset>
              </wp:positionV>
              <wp:extent cx="3768090" cy="1404620"/>
              <wp:effectExtent l="0" t="0" r="3810" b="38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090" cy="1404620"/>
                      </a:xfrm>
                      <a:prstGeom prst="rect">
                        <a:avLst/>
                      </a:prstGeom>
                      <a:solidFill>
                        <a:srgbClr val="FFFFFF"/>
                      </a:solidFill>
                      <a:ln w="9525">
                        <a:noFill/>
                        <a:miter lim="800000"/>
                        <a:headEnd/>
                        <a:tailEnd/>
                      </a:ln>
                    </wps:spPr>
                    <wps:txbx>
                      <w:txbxContent>
                        <w:p w14:paraId="7D497DF0" w14:textId="738C4AC2" w:rsidR="00615554" w:rsidRPr="00F05E01" w:rsidRDefault="00615554" w:rsidP="00615554">
                          <w:pPr>
                            <w:jc w:val="right"/>
                            <w:rPr>
                              <w:rFonts w:cs="Segoe UI"/>
                              <w:sz w:val="12"/>
                              <w:szCs w:val="12"/>
                            </w:rPr>
                          </w:pPr>
                          <w:r w:rsidRPr="00F05E01">
                            <w:rPr>
                              <w:sz w:val="12"/>
                              <w:szCs w:val="12"/>
                            </w:rPr>
                            <w:fldChar w:fldCharType="begin"/>
                          </w:r>
                          <w:r w:rsidRPr="00F05E01">
                            <w:rPr>
                              <w:sz w:val="12"/>
                              <w:szCs w:val="12"/>
                            </w:rPr>
                            <w:instrText xml:space="preserve"> PAGE   \* MERGEFORMAT </w:instrText>
                          </w:r>
                          <w:r w:rsidRPr="00F05E01">
                            <w:rPr>
                              <w:sz w:val="12"/>
                              <w:szCs w:val="12"/>
                            </w:rPr>
                            <w:fldChar w:fldCharType="separate"/>
                          </w:r>
                          <w:r w:rsidR="00E1481C">
                            <w:rPr>
                              <w:noProof/>
                              <w:sz w:val="12"/>
                              <w:szCs w:val="12"/>
                            </w:rPr>
                            <w:t>1</w:t>
                          </w:r>
                          <w:r w:rsidRPr="00F05E01">
                            <w:rPr>
                              <w:noProof/>
                              <w:sz w:val="12"/>
                              <w:szCs w:val="12"/>
                            </w:rPr>
                            <w:fldChar w:fldCharType="end"/>
                          </w:r>
                          <w:r w:rsidRPr="00F05E01">
                            <w:rPr>
                              <w:noProof/>
                              <w:sz w:val="12"/>
                              <w:szCs w:val="12"/>
                            </w:rPr>
                            <w:t xml:space="preserve"> of </w:t>
                          </w:r>
                          <w:r w:rsidRPr="00F05E01">
                            <w:rPr>
                              <w:noProof/>
                              <w:sz w:val="12"/>
                              <w:szCs w:val="12"/>
                            </w:rPr>
                            <w:fldChar w:fldCharType="begin"/>
                          </w:r>
                          <w:r w:rsidRPr="00F05E01">
                            <w:rPr>
                              <w:noProof/>
                              <w:sz w:val="12"/>
                              <w:szCs w:val="12"/>
                            </w:rPr>
                            <w:instrText xml:space="preserve"> NUMPAGES   \* MERGEFORMAT </w:instrText>
                          </w:r>
                          <w:r w:rsidRPr="00F05E01">
                            <w:rPr>
                              <w:noProof/>
                              <w:sz w:val="12"/>
                              <w:szCs w:val="12"/>
                            </w:rPr>
                            <w:fldChar w:fldCharType="separate"/>
                          </w:r>
                          <w:r w:rsidR="00E1481C">
                            <w:rPr>
                              <w:noProof/>
                              <w:sz w:val="12"/>
                              <w:szCs w:val="12"/>
                            </w:rPr>
                            <w:t>6</w:t>
                          </w:r>
                          <w:r w:rsidRPr="00F05E01">
                            <w:rPr>
                              <w:noProof/>
                              <w:sz w:val="12"/>
                              <w:szCs w:val="12"/>
                            </w:rPr>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3524F6" id="_x0000_s1027" type="#_x0000_t202" style="position:absolute;margin-left:245.5pt;margin-top:-1.2pt;width:296.7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" stroked="f">
              <v:textbox style="mso-fit-shape-to-text:t" inset="0,0,0,0">
                <w:txbxContent>
                  <w:p w14:paraId="7D497DF0" w14:textId="738C4AC2" w:rsidR="00615554" w:rsidRPr="00F05E01" w:rsidRDefault="00615554" w:rsidP="00615554">
                    <w:pPr>
                      <w:jc w:val="right"/>
                      <w:rPr>
                        <w:rFonts w:cs="Segoe UI"/>
                        <w:sz w:val="12"/>
                        <w:szCs w:val="12"/>
                      </w:rPr>
                    </w:pPr>
                    <w:r w:rsidRPr="00F05E01">
                      <w:rPr>
                        <w:sz w:val="12"/>
                        <w:szCs w:val="12"/>
                      </w:rPr>
                      <w:fldChar w:fldCharType="begin"/>
                    </w:r>
                    <w:r w:rsidRPr="00F05E01">
                      <w:rPr>
                        <w:sz w:val="12"/>
                        <w:szCs w:val="12"/>
                      </w:rPr>
                      <w:instrText xml:space="preserve"> PAGE   \* MERGEFORMAT </w:instrText>
                    </w:r>
                    <w:r w:rsidRPr="00F05E01">
                      <w:rPr>
                        <w:sz w:val="12"/>
                        <w:szCs w:val="12"/>
                      </w:rPr>
                      <w:fldChar w:fldCharType="separate"/>
                    </w:r>
                    <w:r w:rsidR="00E1481C">
                      <w:rPr>
                        <w:noProof/>
                        <w:sz w:val="12"/>
                        <w:szCs w:val="12"/>
                      </w:rPr>
                      <w:t>1</w:t>
                    </w:r>
                    <w:r w:rsidRPr="00F05E01">
                      <w:rPr>
                        <w:noProof/>
                        <w:sz w:val="12"/>
                        <w:szCs w:val="12"/>
                      </w:rPr>
                      <w:fldChar w:fldCharType="end"/>
                    </w:r>
                    <w:r w:rsidRPr="00F05E01">
                      <w:rPr>
                        <w:noProof/>
                        <w:sz w:val="12"/>
                        <w:szCs w:val="12"/>
                      </w:rPr>
                      <w:t xml:space="preserve"> of </w:t>
                    </w:r>
                    <w:r w:rsidRPr="00F05E01">
                      <w:rPr>
                        <w:noProof/>
                        <w:sz w:val="12"/>
                        <w:szCs w:val="12"/>
                      </w:rPr>
                      <w:fldChar w:fldCharType="begin"/>
                    </w:r>
                    <w:r w:rsidRPr="00F05E01">
                      <w:rPr>
                        <w:noProof/>
                        <w:sz w:val="12"/>
                        <w:szCs w:val="12"/>
                      </w:rPr>
                      <w:instrText xml:space="preserve"> NUMPAGES   \* MERGEFORMAT </w:instrText>
                    </w:r>
                    <w:r w:rsidRPr="00F05E01">
                      <w:rPr>
                        <w:noProof/>
                        <w:sz w:val="12"/>
                        <w:szCs w:val="12"/>
                      </w:rPr>
                      <w:fldChar w:fldCharType="separate"/>
                    </w:r>
                    <w:r w:rsidR="00E1481C">
                      <w:rPr>
                        <w:noProof/>
                        <w:sz w:val="12"/>
                        <w:szCs w:val="12"/>
                      </w:rPr>
                      <w:t>6</w:t>
                    </w:r>
                    <w:r w:rsidRPr="00F05E01">
                      <w:rPr>
                        <w:noProof/>
                        <w:sz w:val="12"/>
                        <w:szCs w:val="12"/>
                      </w:rPr>
                      <w:fldChar w:fldCharType="end"/>
                    </w:r>
                  </w:p>
                </w:txbxContent>
              </v:textbox>
              <w10:wrap type="square" anchorx="margin"/>
            </v:shape>
          </w:pict>
        </mc:Fallback>
      </mc:AlternateContent>
    </w:r>
    <w:r w:rsidRPr="004F015E">
      <w:rPr>
        <w:noProof/>
        <w:color w:val="797979"/>
        <w:sz w:val="13"/>
        <w:szCs w:val="13"/>
        <w:lang w:eastAsia="en-GB"/>
      </w:rPr>
      <mc:AlternateContent>
        <mc:Choice Requires="wps">
          <w:drawing>
            <wp:anchor distT="45720" distB="45720" distL="114300" distR="114300" simplePos="0" relativeHeight="251659264" behindDoc="0" locked="0" layoutInCell="1" allowOverlap="1" wp14:anchorId="4852F745" wp14:editId="31E4E41D">
              <wp:simplePos x="0" y="0"/>
              <wp:positionH relativeFrom="margin">
                <wp:posOffset>2540</wp:posOffset>
              </wp:positionH>
              <wp:positionV relativeFrom="paragraph">
                <wp:posOffset>-163195</wp:posOffset>
              </wp:positionV>
              <wp:extent cx="930909" cy="181609"/>
              <wp:effectExtent l="0" t="0" r="3175"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909" cy="181609"/>
                      </a:xfrm>
                      <a:prstGeom prst="rect">
                        <a:avLst/>
                      </a:prstGeom>
                      <a:solidFill>
                        <a:srgbClr val="FFFFFF"/>
                      </a:solidFill>
                      <a:ln w="9525">
                        <a:noFill/>
                        <a:miter lim="800000"/>
                        <a:headEnd/>
                        <a:tailEnd/>
                      </a:ln>
                    </wps:spPr>
                    <wps:txbx>
                      <w:txbxContent>
                        <w:p w14:paraId="234990FA" w14:textId="098C688B" w:rsidR="00615554" w:rsidRPr="00F05E01" w:rsidRDefault="001919F9" w:rsidP="00615554">
                          <w:pPr>
                            <w:rPr>
                              <w:rFonts w:cs="Segoe UI"/>
                              <w:sz w:val="12"/>
                              <w:szCs w:val="12"/>
                            </w:rPr>
                          </w:pPr>
                          <w:r>
                            <w:rPr>
                              <w:rFonts w:cs="Segoe UI"/>
                              <w:sz w:val="12"/>
                              <w:szCs w:val="12"/>
                            </w:rPr>
                            <w:t>Issue 1 – Version 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52F745" id="_x0000_s1028" type="#_x0000_t202" style="position:absolute;margin-left:.2pt;margin-top:-12.85pt;width:73.3pt;height:14.3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" stroked="f">
              <v:textbox style="mso-fit-shape-to-text:t" inset="0,0,0,0">
                <w:txbxContent>
                  <w:p w14:paraId="234990FA" w14:textId="098C688B" w:rsidR="00615554" w:rsidRPr="00F05E01" w:rsidRDefault="001919F9" w:rsidP="00615554">
                    <w:pPr>
                      <w:rPr>
                        <w:rFonts w:cs="Segoe UI"/>
                        <w:sz w:val="12"/>
                        <w:szCs w:val="12"/>
                      </w:rPr>
                    </w:pPr>
                    <w:r>
                      <w:rPr>
                        <w:rFonts w:cs="Segoe UI"/>
                        <w:sz w:val="12"/>
                        <w:szCs w:val="12"/>
                      </w:rPr>
                      <w:t>Issue 1 – Version 1</w:t>
                    </w:r>
                  </w:p>
                </w:txbxContent>
              </v:textbox>
              <w10:wrap type="square" anchorx="margin"/>
            </v:shape>
          </w:pict>
        </mc:Fallback>
      </mc:AlternateContent>
    </w:r>
    <w:sdt>
      <w:sdtPr>
        <w:rPr>
          <w:sz w:val="12"/>
          <w:szCs w:val="12"/>
        </w:rPr>
        <w:alias w:val="Document classification"/>
        <w:tag w:val="Document classification"/>
        <w:id w:val="-285582485"/>
        <w:showingPlcHdr/>
        <w:dropDownList>
          <w:listItem w:displayText="CONFIDENTIAL" w:value="CONFIDENTIAL"/>
          <w:listItem w:displayText="RESTRICTED" w:value="RESTRICTED"/>
          <w:listItem w:displayText="PUBLIC" w:value="PUBLIC"/>
          <w:listItem w:displayText="BLANK" w:value=""/>
        </w:dropDownList>
      </w:sdtPr>
      <w:sdtEndPr/>
      <w:sdtContent>
        <w:r w:rsidR="001919F9">
          <w:rPr>
            <w:sz w:val="12"/>
            <w:szCs w:val="12"/>
          </w:rPr>
          <w:t xml:space="preserve">     </w:t>
        </w:r>
      </w:sdtContent>
    </w:sdt>
    <w:r>
      <w:rPr>
        <w:color w:val="797979"/>
        <w:sz w:val="12"/>
        <w:szCs w:val="12"/>
      </w:rPr>
      <w:t xml:space="preserve">                                                                                                                                                                                                                                                                </w:t>
    </w:r>
    <w:r w:rsidRPr="004F015E">
      <w:rPr>
        <w:noProof/>
        <w:sz w:val="13"/>
        <w:szCs w:val="13"/>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4B2B1" w14:textId="77777777" w:rsidR="0094279F" w:rsidRDefault="0094279F" w:rsidP="00615554">
      <w:r>
        <w:separator/>
      </w:r>
    </w:p>
  </w:footnote>
  <w:footnote w:type="continuationSeparator" w:id="0">
    <w:p w14:paraId="261930DD" w14:textId="77777777" w:rsidR="0094279F" w:rsidRDefault="0094279F" w:rsidP="00615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C9593" w14:textId="77777777" w:rsidR="00615554" w:rsidRDefault="00615554">
    <w:pPr>
      <w:pStyle w:val="Header"/>
    </w:pPr>
    <w:r>
      <w:rPr>
        <w:noProof/>
        <w:lang w:eastAsia="en-GB"/>
      </w:rPr>
      <w:drawing>
        <wp:anchor distT="0" distB="0" distL="114300" distR="114300" simplePos="0" relativeHeight="251663360" behindDoc="0" locked="0" layoutInCell="1" allowOverlap="1" wp14:anchorId="10C64BE2" wp14:editId="2259DEBE">
          <wp:simplePos x="0" y="0"/>
          <wp:positionH relativeFrom="column">
            <wp:posOffset>0</wp:posOffset>
          </wp:positionH>
          <wp:positionV relativeFrom="paragraph">
            <wp:posOffset>13335</wp:posOffset>
          </wp:positionV>
          <wp:extent cx="1440000" cy="485085"/>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4850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5DEB670"/>
    <w:lvl w:ilvl="0">
      <w:start w:val="1"/>
      <w:numFmt w:val="decimal"/>
      <w:pStyle w:val="ListNumber"/>
      <w:lvlText w:val="%1"/>
      <w:lvlJc w:val="left"/>
      <w:pPr>
        <w:tabs>
          <w:tab w:val="num" w:pos="360"/>
        </w:tabs>
        <w:ind w:left="360" w:hanging="360"/>
      </w:pPr>
      <w:rPr>
        <w:rFonts w:hint="default"/>
        <w:color w:val="009FE3" w:themeColor="background2"/>
      </w:rPr>
    </w:lvl>
  </w:abstractNum>
  <w:abstractNum w:abstractNumId="1" w15:restartNumberingAfterBreak="0">
    <w:nsid w:val="FFFFFF89"/>
    <w:multiLevelType w:val="singleLevel"/>
    <w:tmpl w:val="2492759C"/>
    <w:lvl w:ilvl="0">
      <w:start w:val="1"/>
      <w:numFmt w:val="bullet"/>
      <w:pStyle w:val="ListBullet"/>
      <w:lvlText w:val=""/>
      <w:lvlJc w:val="left"/>
      <w:pPr>
        <w:tabs>
          <w:tab w:val="num" w:pos="360"/>
        </w:tabs>
        <w:ind w:left="360" w:hanging="360"/>
      </w:pPr>
      <w:rPr>
        <w:rFonts w:ascii="Symbol" w:hAnsi="Symbol" w:hint="default"/>
        <w:color w:val="009FE3" w:themeColor="background2"/>
      </w:rPr>
    </w:lvl>
  </w:abstractNum>
  <w:abstractNum w:abstractNumId="2" w15:restartNumberingAfterBreak="0">
    <w:nsid w:val="0060124D"/>
    <w:multiLevelType w:val="hybridMultilevel"/>
    <w:tmpl w:val="8DA8CC18"/>
    <w:lvl w:ilvl="0" w:tplc="C3B6D684">
      <w:start w:val="1"/>
      <w:numFmt w:val="bullet"/>
      <w:lvlText w:val=""/>
      <w:lvlJc w:val="left"/>
      <w:pPr>
        <w:ind w:left="720" w:hanging="360"/>
      </w:pPr>
      <w:rPr>
        <w:rFonts w:ascii="Symbol" w:hAnsi="Symbol" w:hint="default"/>
        <w:color w:val="41C0F0" w:themeColor="accent1"/>
        <w:u w:color="68C0B5"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01069"/>
    <w:multiLevelType w:val="hybridMultilevel"/>
    <w:tmpl w:val="5F62B5A6"/>
    <w:lvl w:ilvl="0" w:tplc="F0548D8E">
      <w:start w:val="1"/>
      <w:numFmt w:val="bullet"/>
      <w:pStyle w:val="List"/>
      <w:lvlText w:val=""/>
      <w:lvlJc w:val="left"/>
      <w:pPr>
        <w:ind w:left="720" w:hanging="360"/>
      </w:pPr>
      <w:rPr>
        <w:rFonts w:ascii="Symbol" w:hAnsi="Symbol" w:hint="default"/>
        <w:color w:val="009FE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134E2D"/>
    <w:multiLevelType w:val="hybridMultilevel"/>
    <w:tmpl w:val="5A001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740509"/>
    <w:multiLevelType w:val="hybridMultilevel"/>
    <w:tmpl w:val="510821EE"/>
    <w:lvl w:ilvl="0" w:tplc="669E459E">
      <w:start w:val="1"/>
      <w:numFmt w:val="decimal"/>
      <w:pStyle w:val="AppendixHeading"/>
      <w:lvlText w:val="Appendix %1"/>
      <w:lvlJc w:val="left"/>
      <w:pPr>
        <w:ind w:left="360" w:hanging="360"/>
      </w:pPr>
      <w:rPr>
        <w:rFonts w:ascii="Arial Bold" w:cs="Times New Roman" w:hint="cs"/>
        <w:b/>
        <w:bCs w:val="0"/>
        <w:i w:val="0"/>
        <w:iCs w:val="0"/>
        <w:caps w:val="0"/>
        <w:smallCaps w:val="0"/>
        <w:strike w:val="0"/>
        <w:dstrike w:val="0"/>
        <w:noProof w:val="0"/>
        <w:vanish w:val="0"/>
        <w:color w:val="009FE3" w:themeColor="background2"/>
        <w:spacing w:val="0"/>
        <w:kern w:val="0"/>
        <w:position w:val="0"/>
        <w:sz w:val="3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3EAA335E"/>
    <w:multiLevelType w:val="hybridMultilevel"/>
    <w:tmpl w:val="6AB898F6"/>
    <w:lvl w:ilvl="0" w:tplc="B51C8EB2">
      <w:start w:val="1"/>
      <w:numFmt w:val="decimal"/>
      <w:pStyle w:val="NumberedList"/>
      <w:lvlText w:val="%1."/>
      <w:lvlJc w:val="left"/>
      <w:pPr>
        <w:ind w:left="720" w:hanging="360"/>
      </w:pPr>
      <w:rPr>
        <w:rFonts w:ascii="Segoe UI" w:hAnsi="Segoe UI" w:hint="default"/>
        <w:b w:val="0"/>
        <w:i w:val="0"/>
        <w:color w:val="009FE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1E75FE"/>
    <w:multiLevelType w:val="hybridMultilevel"/>
    <w:tmpl w:val="C1241998"/>
    <w:lvl w:ilvl="0" w:tplc="410CCF7C">
      <w:start w:val="1"/>
      <w:numFmt w:val="bullet"/>
      <w:lvlText w:val="•"/>
      <w:lvlJc w:val="left"/>
      <w:pPr>
        <w:tabs>
          <w:tab w:val="num" w:pos="720"/>
        </w:tabs>
        <w:ind w:left="720" w:hanging="360"/>
      </w:pPr>
      <w:rPr>
        <w:rFonts w:ascii="Arial" w:hAnsi="Arial" w:hint="default"/>
      </w:rPr>
    </w:lvl>
    <w:lvl w:ilvl="1" w:tplc="6FA698B0">
      <w:start w:val="1"/>
      <w:numFmt w:val="bullet"/>
      <w:lvlText w:val="•"/>
      <w:lvlJc w:val="left"/>
      <w:pPr>
        <w:tabs>
          <w:tab w:val="num" w:pos="1440"/>
        </w:tabs>
        <w:ind w:left="1440" w:hanging="360"/>
      </w:pPr>
      <w:rPr>
        <w:rFonts w:ascii="Arial" w:hAnsi="Arial" w:hint="default"/>
      </w:rPr>
    </w:lvl>
    <w:lvl w:ilvl="2" w:tplc="275A2150" w:tentative="1">
      <w:start w:val="1"/>
      <w:numFmt w:val="bullet"/>
      <w:lvlText w:val="•"/>
      <w:lvlJc w:val="left"/>
      <w:pPr>
        <w:tabs>
          <w:tab w:val="num" w:pos="2160"/>
        </w:tabs>
        <w:ind w:left="2160" w:hanging="360"/>
      </w:pPr>
      <w:rPr>
        <w:rFonts w:ascii="Arial" w:hAnsi="Arial" w:hint="default"/>
      </w:rPr>
    </w:lvl>
    <w:lvl w:ilvl="3" w:tplc="3AF2DE00" w:tentative="1">
      <w:start w:val="1"/>
      <w:numFmt w:val="bullet"/>
      <w:lvlText w:val="•"/>
      <w:lvlJc w:val="left"/>
      <w:pPr>
        <w:tabs>
          <w:tab w:val="num" w:pos="2880"/>
        </w:tabs>
        <w:ind w:left="2880" w:hanging="360"/>
      </w:pPr>
      <w:rPr>
        <w:rFonts w:ascii="Arial" w:hAnsi="Arial" w:hint="default"/>
      </w:rPr>
    </w:lvl>
    <w:lvl w:ilvl="4" w:tplc="3D88D988" w:tentative="1">
      <w:start w:val="1"/>
      <w:numFmt w:val="bullet"/>
      <w:lvlText w:val="•"/>
      <w:lvlJc w:val="left"/>
      <w:pPr>
        <w:tabs>
          <w:tab w:val="num" w:pos="3600"/>
        </w:tabs>
        <w:ind w:left="3600" w:hanging="360"/>
      </w:pPr>
      <w:rPr>
        <w:rFonts w:ascii="Arial" w:hAnsi="Arial" w:hint="default"/>
      </w:rPr>
    </w:lvl>
    <w:lvl w:ilvl="5" w:tplc="CF4E6840" w:tentative="1">
      <w:start w:val="1"/>
      <w:numFmt w:val="bullet"/>
      <w:lvlText w:val="•"/>
      <w:lvlJc w:val="left"/>
      <w:pPr>
        <w:tabs>
          <w:tab w:val="num" w:pos="4320"/>
        </w:tabs>
        <w:ind w:left="4320" w:hanging="360"/>
      </w:pPr>
      <w:rPr>
        <w:rFonts w:ascii="Arial" w:hAnsi="Arial" w:hint="default"/>
      </w:rPr>
    </w:lvl>
    <w:lvl w:ilvl="6" w:tplc="BDE80BB2" w:tentative="1">
      <w:start w:val="1"/>
      <w:numFmt w:val="bullet"/>
      <w:lvlText w:val="•"/>
      <w:lvlJc w:val="left"/>
      <w:pPr>
        <w:tabs>
          <w:tab w:val="num" w:pos="5040"/>
        </w:tabs>
        <w:ind w:left="5040" w:hanging="360"/>
      </w:pPr>
      <w:rPr>
        <w:rFonts w:ascii="Arial" w:hAnsi="Arial" w:hint="default"/>
      </w:rPr>
    </w:lvl>
    <w:lvl w:ilvl="7" w:tplc="1B4488A4" w:tentative="1">
      <w:start w:val="1"/>
      <w:numFmt w:val="bullet"/>
      <w:lvlText w:val="•"/>
      <w:lvlJc w:val="left"/>
      <w:pPr>
        <w:tabs>
          <w:tab w:val="num" w:pos="5760"/>
        </w:tabs>
        <w:ind w:left="5760" w:hanging="360"/>
      </w:pPr>
      <w:rPr>
        <w:rFonts w:ascii="Arial" w:hAnsi="Arial" w:hint="default"/>
      </w:rPr>
    </w:lvl>
    <w:lvl w:ilvl="8" w:tplc="9552D23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6F17E02"/>
    <w:multiLevelType w:val="hybridMultilevel"/>
    <w:tmpl w:val="518A973C"/>
    <w:lvl w:ilvl="0" w:tplc="0D26BCA0">
      <w:start w:val="1"/>
      <w:numFmt w:val="bullet"/>
      <w:lvlText w:val=""/>
      <w:lvlJc w:val="left"/>
      <w:pPr>
        <w:ind w:left="720" w:hanging="360"/>
      </w:pPr>
      <w:rPr>
        <w:rFonts w:ascii="Symbol" w:hAnsi="Symbol" w:hint="default"/>
        <w:color w:val="F6871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8C3506"/>
    <w:multiLevelType w:val="hybridMultilevel"/>
    <w:tmpl w:val="CF48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CD1EB6"/>
    <w:multiLevelType w:val="hybridMultilevel"/>
    <w:tmpl w:val="C38EBE40"/>
    <w:lvl w:ilvl="0" w:tplc="F048B42A">
      <w:start w:val="1"/>
      <w:numFmt w:val="bullet"/>
      <w:lvlText w:val=""/>
      <w:lvlJc w:val="left"/>
      <w:pPr>
        <w:ind w:left="720" w:hanging="360"/>
      </w:pPr>
      <w:rPr>
        <w:rFonts w:ascii="Symbol" w:hAnsi="Symbol" w:hint="default"/>
        <w:color w:val="68C0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5103730">
    <w:abstractNumId w:val="5"/>
  </w:num>
  <w:num w:numId="2" w16cid:durableId="27486654">
    <w:abstractNumId w:val="1"/>
  </w:num>
  <w:num w:numId="3" w16cid:durableId="20127175">
    <w:abstractNumId w:val="0"/>
  </w:num>
  <w:num w:numId="4" w16cid:durableId="281495815">
    <w:abstractNumId w:val="8"/>
  </w:num>
  <w:num w:numId="5" w16cid:durableId="1783959572">
    <w:abstractNumId w:val="1"/>
  </w:num>
  <w:num w:numId="6" w16cid:durableId="950554916">
    <w:abstractNumId w:val="0"/>
  </w:num>
  <w:num w:numId="7" w16cid:durableId="1567767016">
    <w:abstractNumId w:val="5"/>
  </w:num>
  <w:num w:numId="8" w16cid:durableId="229386567">
    <w:abstractNumId w:val="8"/>
  </w:num>
  <w:num w:numId="9" w16cid:durableId="895123350">
    <w:abstractNumId w:val="1"/>
  </w:num>
  <w:num w:numId="10" w16cid:durableId="14156379">
    <w:abstractNumId w:val="0"/>
  </w:num>
  <w:num w:numId="11" w16cid:durableId="112095624">
    <w:abstractNumId w:val="5"/>
  </w:num>
  <w:num w:numId="12" w16cid:durableId="446705528">
    <w:abstractNumId w:val="8"/>
  </w:num>
  <w:num w:numId="13" w16cid:durableId="2030911972">
    <w:abstractNumId w:val="1"/>
  </w:num>
  <w:num w:numId="14" w16cid:durableId="957180448">
    <w:abstractNumId w:val="0"/>
  </w:num>
  <w:num w:numId="15" w16cid:durableId="407773861">
    <w:abstractNumId w:val="5"/>
  </w:num>
  <w:num w:numId="16" w16cid:durableId="2141873938">
    <w:abstractNumId w:val="3"/>
  </w:num>
  <w:num w:numId="17" w16cid:durableId="1342901195">
    <w:abstractNumId w:val="6"/>
  </w:num>
  <w:num w:numId="18" w16cid:durableId="1288320078">
    <w:abstractNumId w:val="4"/>
  </w:num>
  <w:num w:numId="19" w16cid:durableId="1493644277">
    <w:abstractNumId w:val="7"/>
  </w:num>
  <w:num w:numId="20" w16cid:durableId="1773863937">
    <w:abstractNumId w:val="9"/>
  </w:num>
  <w:num w:numId="21" w16cid:durableId="812528487">
    <w:abstractNumId w:val="2"/>
  </w:num>
  <w:num w:numId="22" w16cid:durableId="12467191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attachedTemplate r:id="rId1"/>
  <w:trackRevisions/>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79F"/>
    <w:rsid w:val="000221F1"/>
    <w:rsid w:val="00054661"/>
    <w:rsid w:val="00055901"/>
    <w:rsid w:val="000615E9"/>
    <w:rsid w:val="000646F4"/>
    <w:rsid w:val="000711C8"/>
    <w:rsid w:val="00072D4E"/>
    <w:rsid w:val="000B39E9"/>
    <w:rsid w:val="000B6339"/>
    <w:rsid w:val="000F2699"/>
    <w:rsid w:val="00117683"/>
    <w:rsid w:val="001178B5"/>
    <w:rsid w:val="00126852"/>
    <w:rsid w:val="0014538E"/>
    <w:rsid w:val="001815E4"/>
    <w:rsid w:val="001919F9"/>
    <w:rsid w:val="001D606F"/>
    <w:rsid w:val="001F63FC"/>
    <w:rsid w:val="00207A15"/>
    <w:rsid w:val="002159F9"/>
    <w:rsid w:val="00226672"/>
    <w:rsid w:val="002434EF"/>
    <w:rsid w:val="002479F2"/>
    <w:rsid w:val="002531BE"/>
    <w:rsid w:val="00263105"/>
    <w:rsid w:val="00271BA0"/>
    <w:rsid w:val="00276B6D"/>
    <w:rsid w:val="0027739B"/>
    <w:rsid w:val="002865F6"/>
    <w:rsid w:val="00291FFB"/>
    <w:rsid w:val="0029345B"/>
    <w:rsid w:val="002B2947"/>
    <w:rsid w:val="002D359D"/>
    <w:rsid w:val="0030791B"/>
    <w:rsid w:val="00351A57"/>
    <w:rsid w:val="00351AF5"/>
    <w:rsid w:val="00355EC7"/>
    <w:rsid w:val="00364C5C"/>
    <w:rsid w:val="003703AE"/>
    <w:rsid w:val="00375B5B"/>
    <w:rsid w:val="003817F0"/>
    <w:rsid w:val="00382739"/>
    <w:rsid w:val="003B0E41"/>
    <w:rsid w:val="003D7268"/>
    <w:rsid w:val="003E3207"/>
    <w:rsid w:val="003F31AD"/>
    <w:rsid w:val="0041548E"/>
    <w:rsid w:val="004219A5"/>
    <w:rsid w:val="004256B2"/>
    <w:rsid w:val="004311C8"/>
    <w:rsid w:val="00437D93"/>
    <w:rsid w:val="00440767"/>
    <w:rsid w:val="00441051"/>
    <w:rsid w:val="004506A7"/>
    <w:rsid w:val="0046306A"/>
    <w:rsid w:val="0047365B"/>
    <w:rsid w:val="00476225"/>
    <w:rsid w:val="004864E1"/>
    <w:rsid w:val="00496C20"/>
    <w:rsid w:val="004A3ADE"/>
    <w:rsid w:val="004B57B9"/>
    <w:rsid w:val="004C20B1"/>
    <w:rsid w:val="004E1255"/>
    <w:rsid w:val="004E654F"/>
    <w:rsid w:val="004F11CF"/>
    <w:rsid w:val="005040E9"/>
    <w:rsid w:val="005216CA"/>
    <w:rsid w:val="005414B9"/>
    <w:rsid w:val="005473C5"/>
    <w:rsid w:val="005B5FAA"/>
    <w:rsid w:val="005F5026"/>
    <w:rsid w:val="00611A42"/>
    <w:rsid w:val="00615554"/>
    <w:rsid w:val="00651335"/>
    <w:rsid w:val="006520A2"/>
    <w:rsid w:val="00663A37"/>
    <w:rsid w:val="0067576B"/>
    <w:rsid w:val="006B00AF"/>
    <w:rsid w:val="006C1E9B"/>
    <w:rsid w:val="006D7119"/>
    <w:rsid w:val="006E2294"/>
    <w:rsid w:val="00735DB9"/>
    <w:rsid w:val="00740E4E"/>
    <w:rsid w:val="0074131F"/>
    <w:rsid w:val="0075748D"/>
    <w:rsid w:val="007662CC"/>
    <w:rsid w:val="007706BD"/>
    <w:rsid w:val="007710EB"/>
    <w:rsid w:val="00792AA7"/>
    <w:rsid w:val="007942A6"/>
    <w:rsid w:val="007A72D2"/>
    <w:rsid w:val="007F4127"/>
    <w:rsid w:val="00812DB6"/>
    <w:rsid w:val="00830C2F"/>
    <w:rsid w:val="0083702E"/>
    <w:rsid w:val="008B4883"/>
    <w:rsid w:val="008D0AF4"/>
    <w:rsid w:val="008E2605"/>
    <w:rsid w:val="008F13C4"/>
    <w:rsid w:val="008F456B"/>
    <w:rsid w:val="00904AAA"/>
    <w:rsid w:val="0093531A"/>
    <w:rsid w:val="0094279F"/>
    <w:rsid w:val="00942AC3"/>
    <w:rsid w:val="00947B28"/>
    <w:rsid w:val="00962C0E"/>
    <w:rsid w:val="00963D2C"/>
    <w:rsid w:val="00965216"/>
    <w:rsid w:val="009677A2"/>
    <w:rsid w:val="0099398B"/>
    <w:rsid w:val="009A16B4"/>
    <w:rsid w:val="009D0539"/>
    <w:rsid w:val="009D0A90"/>
    <w:rsid w:val="00A035C1"/>
    <w:rsid w:val="00A11F77"/>
    <w:rsid w:val="00A43B93"/>
    <w:rsid w:val="00A44B66"/>
    <w:rsid w:val="00A54390"/>
    <w:rsid w:val="00A57FEB"/>
    <w:rsid w:val="00A76ADE"/>
    <w:rsid w:val="00AD2D66"/>
    <w:rsid w:val="00AD7CFA"/>
    <w:rsid w:val="00AF653A"/>
    <w:rsid w:val="00B13543"/>
    <w:rsid w:val="00B17E13"/>
    <w:rsid w:val="00B24878"/>
    <w:rsid w:val="00B25F20"/>
    <w:rsid w:val="00B265FD"/>
    <w:rsid w:val="00B31C32"/>
    <w:rsid w:val="00B74CB0"/>
    <w:rsid w:val="00B84666"/>
    <w:rsid w:val="00B91A98"/>
    <w:rsid w:val="00BC09F3"/>
    <w:rsid w:val="00BC3D84"/>
    <w:rsid w:val="00BE71AF"/>
    <w:rsid w:val="00BE7648"/>
    <w:rsid w:val="00C006D5"/>
    <w:rsid w:val="00C05679"/>
    <w:rsid w:val="00C1221D"/>
    <w:rsid w:val="00C14C5B"/>
    <w:rsid w:val="00C3595E"/>
    <w:rsid w:val="00C42F8E"/>
    <w:rsid w:val="00C55400"/>
    <w:rsid w:val="00C7686A"/>
    <w:rsid w:val="00C86083"/>
    <w:rsid w:val="00CD0C6B"/>
    <w:rsid w:val="00CD6E98"/>
    <w:rsid w:val="00CE28E1"/>
    <w:rsid w:val="00CE694A"/>
    <w:rsid w:val="00CF25DF"/>
    <w:rsid w:val="00CF4CBE"/>
    <w:rsid w:val="00D3248E"/>
    <w:rsid w:val="00D32F2B"/>
    <w:rsid w:val="00D815C1"/>
    <w:rsid w:val="00DD7BEB"/>
    <w:rsid w:val="00DF21BD"/>
    <w:rsid w:val="00E1481C"/>
    <w:rsid w:val="00E23FD9"/>
    <w:rsid w:val="00E6207D"/>
    <w:rsid w:val="00E87F0A"/>
    <w:rsid w:val="00E9578F"/>
    <w:rsid w:val="00EA5A27"/>
    <w:rsid w:val="00EA7C4B"/>
    <w:rsid w:val="00EB5CDA"/>
    <w:rsid w:val="00EC4E7F"/>
    <w:rsid w:val="00EF0AC5"/>
    <w:rsid w:val="00F05E01"/>
    <w:rsid w:val="00F05FAB"/>
    <w:rsid w:val="00F07767"/>
    <w:rsid w:val="00F32D42"/>
    <w:rsid w:val="00F53034"/>
    <w:rsid w:val="00F86888"/>
    <w:rsid w:val="00FE7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8B22C17"/>
  <w15:chartTrackingRefBased/>
  <w15:docId w15:val="{5777E08D-5971-4354-9BAF-65FD475F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1" w:unhideWhenUsed="1" w:qFormat="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5"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no spacing)"/>
    <w:qFormat/>
    <w:rsid w:val="00F05FAB"/>
    <w:pPr>
      <w:spacing w:after="0" w:line="240" w:lineRule="auto"/>
    </w:pPr>
    <w:rPr>
      <w:rFonts w:ascii="Segoe UI" w:hAnsi="Segoe UI"/>
      <w:szCs w:val="24"/>
      <w:lang w:val="en-US" w:bidi="en-US"/>
    </w:rPr>
  </w:style>
  <w:style w:type="paragraph" w:styleId="Heading1">
    <w:name w:val="heading 1"/>
    <w:basedOn w:val="Normal"/>
    <w:next w:val="BodyText"/>
    <w:link w:val="Heading1Char"/>
    <w:qFormat/>
    <w:rsid w:val="00207A15"/>
    <w:pPr>
      <w:keepNext/>
      <w:spacing w:before="240" w:after="240"/>
      <w:outlineLvl w:val="0"/>
    </w:pPr>
    <w:rPr>
      <w:rFonts w:ascii="Segoe UI Semibold" w:eastAsiaTheme="majorEastAsia" w:hAnsi="Segoe UI Semibold"/>
      <w:bCs/>
      <w:color w:val="0069B4"/>
      <w:kern w:val="32"/>
      <w:sz w:val="36"/>
      <w:szCs w:val="32"/>
      <w:lang w:val="en-GB" w:bidi="ar-SA"/>
    </w:rPr>
  </w:style>
  <w:style w:type="paragraph" w:styleId="Heading2">
    <w:name w:val="heading 2"/>
    <w:basedOn w:val="Normal"/>
    <w:next w:val="BodyText"/>
    <w:link w:val="Heading2Char"/>
    <w:qFormat/>
    <w:rsid w:val="00207A15"/>
    <w:pPr>
      <w:keepNext/>
      <w:spacing w:before="240" w:after="120"/>
      <w:outlineLvl w:val="1"/>
    </w:pPr>
    <w:rPr>
      <w:rFonts w:ascii="Segoe UI Semibold" w:eastAsiaTheme="majorEastAsia" w:hAnsi="Segoe UI Semibold"/>
      <w:bCs/>
      <w:iCs/>
      <w:color w:val="009FE3"/>
      <w:sz w:val="28"/>
      <w:szCs w:val="28"/>
      <w:lang w:val="en-GB" w:bidi="ar-SA"/>
    </w:rPr>
  </w:style>
  <w:style w:type="paragraph" w:styleId="Heading3">
    <w:name w:val="heading 3"/>
    <w:basedOn w:val="Normal"/>
    <w:next w:val="BodyText"/>
    <w:link w:val="Heading3Char"/>
    <w:qFormat/>
    <w:rsid w:val="00740E4E"/>
    <w:pPr>
      <w:keepNext/>
      <w:spacing w:before="240" w:after="60"/>
      <w:outlineLvl w:val="2"/>
    </w:pPr>
    <w:rPr>
      <w:rFonts w:ascii="Segoe UI Semibold" w:eastAsiaTheme="majorEastAsia" w:hAnsi="Segoe UI Semibold"/>
      <w:bCs/>
      <w:color w:val="68C0B5" w:themeColor="accent5"/>
      <w:sz w:val="24"/>
      <w:szCs w:val="26"/>
      <w:lang w:val="en-GB" w:bidi="ar-SA"/>
    </w:rPr>
  </w:style>
  <w:style w:type="paragraph" w:styleId="Heading5">
    <w:name w:val="heading 5"/>
    <w:basedOn w:val="Normal"/>
    <w:next w:val="Normal"/>
    <w:link w:val="Heading5Char"/>
    <w:uiPriority w:val="9"/>
    <w:semiHidden/>
    <w:unhideWhenUsed/>
    <w:qFormat/>
    <w:rsid w:val="000646F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646F4"/>
    <w:pPr>
      <w:spacing w:before="240" w:after="60"/>
      <w:outlineLvl w:val="5"/>
    </w:pPr>
    <w:rPr>
      <w:b/>
      <w:bCs/>
    </w:rPr>
  </w:style>
  <w:style w:type="paragraph" w:styleId="Heading7">
    <w:name w:val="heading 7"/>
    <w:basedOn w:val="Normal"/>
    <w:next w:val="Normal"/>
    <w:link w:val="Heading7Char"/>
    <w:uiPriority w:val="9"/>
    <w:semiHidden/>
    <w:unhideWhenUsed/>
    <w:qFormat/>
    <w:rsid w:val="000646F4"/>
    <w:pPr>
      <w:spacing w:before="240" w:after="60"/>
      <w:outlineLvl w:val="6"/>
    </w:pPr>
    <w:rPr>
      <w:sz w:val="24"/>
    </w:rPr>
  </w:style>
  <w:style w:type="paragraph" w:styleId="Heading8">
    <w:name w:val="heading 8"/>
    <w:basedOn w:val="Normal"/>
    <w:next w:val="Normal"/>
    <w:link w:val="Heading8Char"/>
    <w:uiPriority w:val="9"/>
    <w:semiHidden/>
    <w:unhideWhenUsed/>
    <w:qFormat/>
    <w:rsid w:val="000646F4"/>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0646F4"/>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FrontPageScheme">
    <w:name w:val="bwFrontPageScheme"/>
    <w:basedOn w:val="Normal"/>
    <w:uiPriority w:val="4"/>
    <w:rsid w:val="000646F4"/>
    <w:pPr>
      <w:jc w:val="right"/>
    </w:pPr>
    <w:rPr>
      <w:b/>
      <w:color w:val="00446A"/>
      <w:sz w:val="64"/>
    </w:rPr>
  </w:style>
  <w:style w:type="paragraph" w:customStyle="1" w:styleId="bwFrontPageJob">
    <w:name w:val="bwFrontPageJob"/>
    <w:basedOn w:val="Normal"/>
    <w:uiPriority w:val="4"/>
    <w:rsid w:val="000646F4"/>
    <w:pPr>
      <w:jc w:val="right"/>
    </w:pPr>
    <w:rPr>
      <w:color w:val="00446A"/>
      <w:sz w:val="36"/>
    </w:rPr>
  </w:style>
  <w:style w:type="paragraph" w:customStyle="1" w:styleId="bwFrontPageDetails">
    <w:name w:val="bwFrontPageDetails"/>
    <w:basedOn w:val="Normal"/>
    <w:uiPriority w:val="4"/>
    <w:rsid w:val="000646F4"/>
    <w:pPr>
      <w:spacing w:before="60"/>
      <w:jc w:val="right"/>
    </w:pPr>
    <w:rPr>
      <w:color w:val="00446A"/>
      <w:sz w:val="28"/>
    </w:rPr>
  </w:style>
  <w:style w:type="paragraph" w:customStyle="1" w:styleId="bwFrontPageDate">
    <w:name w:val="bwFrontPageDate"/>
    <w:basedOn w:val="Normal"/>
    <w:uiPriority w:val="4"/>
    <w:rsid w:val="000646F4"/>
    <w:pPr>
      <w:spacing w:before="240"/>
      <w:jc w:val="right"/>
    </w:pPr>
    <w:rPr>
      <w:color w:val="00446A"/>
    </w:rPr>
  </w:style>
  <w:style w:type="paragraph" w:customStyle="1" w:styleId="AppendixHeading">
    <w:name w:val="Appendix Heading"/>
    <w:basedOn w:val="Normal"/>
    <w:next w:val="AppendixBodyText"/>
    <w:uiPriority w:val="2"/>
    <w:rsid w:val="000646F4"/>
    <w:pPr>
      <w:pageBreakBefore/>
      <w:numPr>
        <w:numId w:val="15"/>
      </w:numPr>
      <w:spacing w:before="240" w:after="240"/>
    </w:pPr>
    <w:rPr>
      <w:b/>
      <w:color w:val="009FE3" w:themeColor="background2"/>
      <w:sz w:val="36"/>
    </w:rPr>
  </w:style>
  <w:style w:type="paragraph" w:customStyle="1" w:styleId="bwFooterLeft">
    <w:name w:val="bwFooterLeft"/>
    <w:basedOn w:val="bwFooterRight"/>
    <w:uiPriority w:val="3"/>
    <w:rsid w:val="007710EB"/>
    <w:pPr>
      <w:jc w:val="left"/>
    </w:pPr>
  </w:style>
  <w:style w:type="paragraph" w:customStyle="1" w:styleId="bwFooterRight">
    <w:name w:val="bwFooterRight"/>
    <w:basedOn w:val="Normal"/>
    <w:uiPriority w:val="3"/>
    <w:rsid w:val="007710EB"/>
    <w:pPr>
      <w:jc w:val="right"/>
    </w:pPr>
    <w:rPr>
      <w:color w:val="797979"/>
      <w:sz w:val="13"/>
      <w:szCs w:val="22"/>
    </w:rPr>
  </w:style>
  <w:style w:type="paragraph" w:customStyle="1" w:styleId="AppendixBodyText">
    <w:name w:val="Appendix Body Text"/>
    <w:basedOn w:val="Normal"/>
    <w:link w:val="AppendixBodyTextChar"/>
    <w:uiPriority w:val="2"/>
    <w:rsid w:val="000646F4"/>
    <w:pPr>
      <w:spacing w:after="200"/>
      <w:jc w:val="both"/>
    </w:pPr>
  </w:style>
  <w:style w:type="character" w:customStyle="1" w:styleId="AppendixBodyTextChar">
    <w:name w:val="Appendix Body Text Char"/>
    <w:basedOn w:val="DefaultParagraphFont"/>
    <w:link w:val="AppendixBodyText"/>
    <w:uiPriority w:val="2"/>
    <w:rsid w:val="000646F4"/>
    <w:rPr>
      <w:rFonts w:ascii="Segoe UI" w:hAnsi="Segoe UI"/>
    </w:rPr>
  </w:style>
  <w:style w:type="paragraph" w:customStyle="1" w:styleId="Subject">
    <w:name w:val="Subject"/>
    <w:basedOn w:val="Normal"/>
    <w:next w:val="BodyText"/>
    <w:link w:val="SubjectChar"/>
    <w:rsid w:val="002B2947"/>
    <w:pPr>
      <w:spacing w:after="300"/>
      <w:contextualSpacing/>
    </w:pPr>
    <w:rPr>
      <w:rFonts w:cstheme="minorBidi"/>
      <w:color w:val="009FE3"/>
      <w:sz w:val="22"/>
      <w:szCs w:val="22"/>
      <w:lang w:val="en-GB" w:bidi="ar-SA"/>
    </w:rPr>
  </w:style>
  <w:style w:type="character" w:customStyle="1" w:styleId="SubjectChar">
    <w:name w:val="Subject Char"/>
    <w:basedOn w:val="DefaultParagraphFont"/>
    <w:link w:val="Subject"/>
    <w:rsid w:val="002B2947"/>
    <w:rPr>
      <w:rFonts w:ascii="Segoe UI" w:hAnsi="Segoe UI" w:cstheme="minorBidi"/>
      <w:color w:val="009FE3"/>
      <w:sz w:val="22"/>
      <w:szCs w:val="22"/>
    </w:rPr>
  </w:style>
  <w:style w:type="paragraph" w:styleId="BodyText">
    <w:name w:val="Body Text"/>
    <w:basedOn w:val="Normal"/>
    <w:link w:val="BodyTextChar"/>
    <w:qFormat/>
    <w:rsid w:val="000646F4"/>
    <w:pPr>
      <w:spacing w:after="200"/>
      <w:jc w:val="both"/>
    </w:pPr>
    <w:rPr>
      <w:szCs w:val="20"/>
      <w:lang w:val="en-GB" w:bidi="ar-SA"/>
    </w:rPr>
  </w:style>
  <w:style w:type="character" w:customStyle="1" w:styleId="BodyTextChar">
    <w:name w:val="Body Text Char"/>
    <w:basedOn w:val="DefaultParagraphFont"/>
    <w:link w:val="BodyText"/>
    <w:rsid w:val="000646F4"/>
    <w:rPr>
      <w:rFonts w:ascii="Segoe UI" w:hAnsi="Segoe UI"/>
    </w:rPr>
  </w:style>
  <w:style w:type="paragraph" w:customStyle="1" w:styleId="AppendixListBullet">
    <w:name w:val="Appendix List Bullet"/>
    <w:basedOn w:val="ListBullet"/>
    <w:uiPriority w:val="2"/>
    <w:semiHidden/>
    <w:qFormat/>
    <w:rsid w:val="000646F4"/>
    <w:pPr>
      <w:numPr>
        <w:numId w:val="0"/>
      </w:numPr>
    </w:pPr>
  </w:style>
  <w:style w:type="paragraph" w:styleId="ListBullet">
    <w:name w:val="List Bullet"/>
    <w:basedOn w:val="Normal"/>
    <w:uiPriority w:val="1"/>
    <w:semiHidden/>
    <w:qFormat/>
    <w:rsid w:val="000646F4"/>
    <w:pPr>
      <w:numPr>
        <w:numId w:val="13"/>
      </w:numPr>
      <w:spacing w:after="240" w:line="276" w:lineRule="auto"/>
      <w:contextualSpacing/>
    </w:pPr>
    <w:rPr>
      <w:szCs w:val="20"/>
      <w:lang w:val="en-GB" w:bidi="ar-SA"/>
    </w:rPr>
  </w:style>
  <w:style w:type="paragraph" w:customStyle="1" w:styleId="AppendixListNumber">
    <w:name w:val="Appendix List Number"/>
    <w:basedOn w:val="ListNumber"/>
    <w:uiPriority w:val="2"/>
    <w:semiHidden/>
    <w:qFormat/>
    <w:rsid w:val="000646F4"/>
    <w:pPr>
      <w:numPr>
        <w:numId w:val="0"/>
      </w:numPr>
    </w:pPr>
  </w:style>
  <w:style w:type="paragraph" w:styleId="ListNumber">
    <w:name w:val="List Number"/>
    <w:basedOn w:val="Normal"/>
    <w:uiPriority w:val="1"/>
    <w:semiHidden/>
    <w:qFormat/>
    <w:rsid w:val="000646F4"/>
    <w:pPr>
      <w:numPr>
        <w:numId w:val="14"/>
      </w:numPr>
      <w:tabs>
        <w:tab w:val="clear" w:pos="360"/>
      </w:tabs>
      <w:spacing w:after="240" w:line="276" w:lineRule="auto"/>
      <w:ind w:left="2268" w:hanging="2268"/>
      <w:contextualSpacing/>
    </w:pPr>
    <w:rPr>
      <w:szCs w:val="20"/>
      <w:lang w:val="en-GB" w:bidi="ar-SA"/>
    </w:rPr>
  </w:style>
  <w:style w:type="paragraph" w:customStyle="1" w:styleId="AppendixSubheading">
    <w:name w:val="Appendix Subheading"/>
    <w:basedOn w:val="Normal"/>
    <w:next w:val="AppendixBodyText"/>
    <w:uiPriority w:val="2"/>
    <w:rsid w:val="000646F4"/>
    <w:pPr>
      <w:spacing w:before="240" w:after="120"/>
    </w:pPr>
    <w:rPr>
      <w:b/>
      <w:color w:val="009FE3" w:themeColor="background2"/>
      <w:sz w:val="28"/>
    </w:rPr>
  </w:style>
  <w:style w:type="paragraph" w:customStyle="1" w:styleId="LetterSubheading">
    <w:name w:val="Letter Subheading"/>
    <w:basedOn w:val="Subject"/>
    <w:next w:val="BodyText"/>
    <w:link w:val="LetterSubheadingChar"/>
    <w:uiPriority w:val="1"/>
    <w:qFormat/>
    <w:rsid w:val="00D32F2B"/>
    <w:pPr>
      <w:spacing w:after="120"/>
    </w:pPr>
  </w:style>
  <w:style w:type="character" w:customStyle="1" w:styleId="LetterSubheadingChar">
    <w:name w:val="Letter Subheading Char"/>
    <w:basedOn w:val="SubjectChar"/>
    <w:link w:val="LetterSubheading"/>
    <w:uiPriority w:val="1"/>
    <w:rsid w:val="00D32F2B"/>
    <w:rPr>
      <w:rFonts w:ascii="Segoe UI" w:hAnsi="Segoe UI" w:cstheme="minorBidi"/>
      <w:b w:val="0"/>
      <w:color w:val="009FE3"/>
      <w:sz w:val="22"/>
      <w:szCs w:val="22"/>
    </w:rPr>
  </w:style>
  <w:style w:type="paragraph" w:customStyle="1" w:styleId="bwTableText">
    <w:name w:val="bwTableText"/>
    <w:basedOn w:val="NoSpacing"/>
    <w:qFormat/>
    <w:rsid w:val="000646F4"/>
    <w:pPr>
      <w:keepNext/>
    </w:pPr>
  </w:style>
  <w:style w:type="paragraph" w:styleId="NoSpacing">
    <w:name w:val="No Spacing"/>
    <w:basedOn w:val="Normal"/>
    <w:link w:val="NoSpacingChar"/>
    <w:qFormat/>
    <w:rsid w:val="000646F4"/>
    <w:rPr>
      <w:szCs w:val="32"/>
      <w:lang w:val="en-GB" w:bidi="ar-SA"/>
    </w:rPr>
  </w:style>
  <w:style w:type="character" w:customStyle="1" w:styleId="Heading1Char">
    <w:name w:val="Heading 1 Char"/>
    <w:basedOn w:val="DefaultParagraphFont"/>
    <w:link w:val="Heading1"/>
    <w:rsid w:val="00207A15"/>
    <w:rPr>
      <w:rFonts w:ascii="Segoe UI Semibold" w:eastAsiaTheme="majorEastAsia" w:hAnsi="Segoe UI Semibold"/>
      <w:bCs/>
      <w:color w:val="0069B4"/>
      <w:kern w:val="32"/>
      <w:sz w:val="36"/>
      <w:szCs w:val="32"/>
    </w:rPr>
  </w:style>
  <w:style w:type="character" w:customStyle="1" w:styleId="Heading2Char">
    <w:name w:val="Heading 2 Char"/>
    <w:basedOn w:val="DefaultParagraphFont"/>
    <w:link w:val="Heading2"/>
    <w:rsid w:val="00207A15"/>
    <w:rPr>
      <w:rFonts w:ascii="Segoe UI Semibold" w:eastAsiaTheme="majorEastAsia" w:hAnsi="Segoe UI Semibold"/>
      <w:bCs/>
      <w:iCs/>
      <w:color w:val="009FE3"/>
      <w:sz w:val="28"/>
      <w:szCs w:val="28"/>
    </w:rPr>
  </w:style>
  <w:style w:type="character" w:customStyle="1" w:styleId="Heading3Char">
    <w:name w:val="Heading 3 Char"/>
    <w:basedOn w:val="DefaultParagraphFont"/>
    <w:link w:val="Heading3"/>
    <w:rsid w:val="00740E4E"/>
    <w:rPr>
      <w:rFonts w:ascii="Segoe UI Semibold" w:eastAsiaTheme="majorEastAsia" w:hAnsi="Segoe UI Semibold"/>
      <w:bCs/>
      <w:color w:val="68C0B5" w:themeColor="accent5"/>
      <w:sz w:val="24"/>
      <w:szCs w:val="26"/>
    </w:rPr>
  </w:style>
  <w:style w:type="character" w:customStyle="1" w:styleId="Heading5Char">
    <w:name w:val="Heading 5 Char"/>
    <w:basedOn w:val="DefaultParagraphFont"/>
    <w:link w:val="Heading5"/>
    <w:uiPriority w:val="9"/>
    <w:semiHidden/>
    <w:rsid w:val="000646F4"/>
    <w:rPr>
      <w:rFonts w:ascii="Segoe UI" w:hAnsi="Segoe UI"/>
      <w:b/>
      <w:bCs/>
      <w:i/>
      <w:iCs/>
      <w:sz w:val="26"/>
      <w:szCs w:val="26"/>
    </w:rPr>
  </w:style>
  <w:style w:type="character" w:customStyle="1" w:styleId="Heading6Char">
    <w:name w:val="Heading 6 Char"/>
    <w:basedOn w:val="DefaultParagraphFont"/>
    <w:link w:val="Heading6"/>
    <w:uiPriority w:val="9"/>
    <w:semiHidden/>
    <w:rsid w:val="000646F4"/>
    <w:rPr>
      <w:rFonts w:ascii="Segoe UI" w:hAnsi="Segoe UI"/>
      <w:b/>
      <w:bCs/>
    </w:rPr>
  </w:style>
  <w:style w:type="character" w:customStyle="1" w:styleId="Heading7Char">
    <w:name w:val="Heading 7 Char"/>
    <w:basedOn w:val="DefaultParagraphFont"/>
    <w:link w:val="Heading7"/>
    <w:uiPriority w:val="9"/>
    <w:semiHidden/>
    <w:rsid w:val="000646F4"/>
    <w:rPr>
      <w:rFonts w:ascii="Segoe UI" w:hAnsi="Segoe UI"/>
      <w:sz w:val="24"/>
      <w:szCs w:val="24"/>
    </w:rPr>
  </w:style>
  <w:style w:type="character" w:customStyle="1" w:styleId="Heading8Char">
    <w:name w:val="Heading 8 Char"/>
    <w:basedOn w:val="DefaultParagraphFont"/>
    <w:link w:val="Heading8"/>
    <w:uiPriority w:val="9"/>
    <w:semiHidden/>
    <w:rsid w:val="000646F4"/>
    <w:rPr>
      <w:rFonts w:ascii="Segoe UI" w:hAnsi="Segoe UI"/>
      <w:i/>
      <w:iCs/>
      <w:sz w:val="24"/>
      <w:szCs w:val="24"/>
    </w:rPr>
  </w:style>
  <w:style w:type="character" w:customStyle="1" w:styleId="Heading9Char">
    <w:name w:val="Heading 9 Char"/>
    <w:basedOn w:val="DefaultParagraphFont"/>
    <w:link w:val="Heading9"/>
    <w:uiPriority w:val="9"/>
    <w:semiHidden/>
    <w:rsid w:val="000646F4"/>
    <w:rPr>
      <w:rFonts w:asciiTheme="majorHAnsi" w:eastAsiaTheme="majorEastAsia" w:hAnsiTheme="majorHAnsi"/>
    </w:rPr>
  </w:style>
  <w:style w:type="paragraph" w:styleId="List">
    <w:name w:val="List"/>
    <w:basedOn w:val="Normal"/>
    <w:link w:val="ListChar"/>
    <w:qFormat/>
    <w:rsid w:val="000646F4"/>
    <w:pPr>
      <w:numPr>
        <w:numId w:val="16"/>
      </w:numPr>
      <w:spacing w:after="200" w:line="276" w:lineRule="auto"/>
      <w:contextualSpacing/>
    </w:pPr>
    <w:rPr>
      <w:szCs w:val="20"/>
      <w:lang w:val="en-GB" w:bidi="ar-SA"/>
    </w:rPr>
  </w:style>
  <w:style w:type="paragraph" w:styleId="Title">
    <w:name w:val="Title"/>
    <w:basedOn w:val="Normal"/>
    <w:next w:val="Heading1"/>
    <w:link w:val="TitleChar"/>
    <w:uiPriority w:val="2"/>
    <w:qFormat/>
    <w:rsid w:val="000646F4"/>
    <w:pPr>
      <w:spacing w:before="240" w:after="720"/>
      <w:jc w:val="center"/>
    </w:pPr>
    <w:rPr>
      <w:b/>
      <w:color w:val="009FE3" w:themeColor="background2"/>
      <w:sz w:val="44"/>
      <w:szCs w:val="44"/>
      <w:lang w:val="en-GB" w:bidi="ar-SA"/>
    </w:rPr>
  </w:style>
  <w:style w:type="character" w:customStyle="1" w:styleId="TitleChar">
    <w:name w:val="Title Char"/>
    <w:basedOn w:val="DefaultParagraphFont"/>
    <w:link w:val="Title"/>
    <w:uiPriority w:val="2"/>
    <w:rsid w:val="000646F4"/>
    <w:rPr>
      <w:rFonts w:ascii="Segoe UI" w:hAnsi="Segoe UI"/>
      <w:b/>
      <w:color w:val="009FE3" w:themeColor="background2"/>
      <w:sz w:val="44"/>
      <w:szCs w:val="44"/>
    </w:rPr>
  </w:style>
  <w:style w:type="paragraph" w:styleId="Closing">
    <w:name w:val="Closing"/>
    <w:basedOn w:val="Normal"/>
    <w:link w:val="ClosingChar"/>
    <w:uiPriority w:val="1"/>
    <w:qFormat/>
    <w:rsid w:val="000646F4"/>
    <w:pPr>
      <w:spacing w:before="360" w:after="840"/>
    </w:pPr>
    <w:rPr>
      <w:szCs w:val="20"/>
      <w:lang w:val="en-GB" w:bidi="ar-SA"/>
    </w:rPr>
  </w:style>
  <w:style w:type="character" w:customStyle="1" w:styleId="ClosingChar">
    <w:name w:val="Closing Char"/>
    <w:basedOn w:val="DefaultParagraphFont"/>
    <w:link w:val="Closing"/>
    <w:uiPriority w:val="1"/>
    <w:rsid w:val="000646F4"/>
    <w:rPr>
      <w:rFonts w:ascii="Segoe UI" w:hAnsi="Segoe UI"/>
    </w:rPr>
  </w:style>
  <w:style w:type="paragraph" w:styleId="Signature">
    <w:name w:val="Signature"/>
    <w:basedOn w:val="Normal"/>
    <w:link w:val="SignatureChar"/>
    <w:qFormat/>
    <w:rsid w:val="000646F4"/>
    <w:rPr>
      <w:rFonts w:cstheme="minorBidi"/>
      <w:b/>
      <w:szCs w:val="22"/>
      <w:lang w:val="en-GB" w:bidi="ar-SA"/>
    </w:rPr>
  </w:style>
  <w:style w:type="character" w:customStyle="1" w:styleId="SignatureChar">
    <w:name w:val="Signature Char"/>
    <w:basedOn w:val="DefaultParagraphFont"/>
    <w:link w:val="Signature"/>
    <w:rsid w:val="000646F4"/>
    <w:rPr>
      <w:rFonts w:ascii="Segoe UI" w:hAnsi="Segoe UI" w:cstheme="minorBidi"/>
      <w:b/>
      <w:szCs w:val="22"/>
    </w:rPr>
  </w:style>
  <w:style w:type="paragraph" w:styleId="Salutation">
    <w:name w:val="Salutation"/>
    <w:basedOn w:val="Normal"/>
    <w:next w:val="Normal"/>
    <w:link w:val="SalutationChar"/>
    <w:uiPriority w:val="1"/>
    <w:rsid w:val="000646F4"/>
    <w:pPr>
      <w:spacing w:after="240"/>
    </w:pPr>
  </w:style>
  <w:style w:type="character" w:customStyle="1" w:styleId="SalutationChar">
    <w:name w:val="Salutation Char"/>
    <w:basedOn w:val="DefaultParagraphFont"/>
    <w:link w:val="Salutation"/>
    <w:uiPriority w:val="1"/>
    <w:rsid w:val="000646F4"/>
    <w:rPr>
      <w:rFonts w:ascii="Segoe UI" w:hAnsi="Segoe UI"/>
    </w:rPr>
  </w:style>
  <w:style w:type="paragraph" w:styleId="Date">
    <w:name w:val="Date"/>
    <w:basedOn w:val="Normal"/>
    <w:next w:val="Normal"/>
    <w:link w:val="DateChar"/>
    <w:uiPriority w:val="1"/>
    <w:qFormat/>
    <w:rsid w:val="000646F4"/>
    <w:pPr>
      <w:jc w:val="right"/>
    </w:pPr>
    <w:rPr>
      <w:sz w:val="22"/>
      <w:szCs w:val="20"/>
      <w:lang w:val="en-GB" w:bidi="ar-SA"/>
    </w:rPr>
  </w:style>
  <w:style w:type="character" w:customStyle="1" w:styleId="DateChar">
    <w:name w:val="Date Char"/>
    <w:basedOn w:val="DefaultParagraphFont"/>
    <w:link w:val="Date"/>
    <w:uiPriority w:val="1"/>
    <w:rsid w:val="000646F4"/>
    <w:rPr>
      <w:rFonts w:ascii="Segoe UI" w:hAnsi="Segoe UI"/>
      <w:sz w:val="22"/>
    </w:rPr>
  </w:style>
  <w:style w:type="paragraph" w:styleId="BodyText2">
    <w:name w:val="Body Text 2"/>
    <w:basedOn w:val="BodyText"/>
    <w:link w:val="BodyText2Char"/>
    <w:uiPriority w:val="99"/>
    <w:semiHidden/>
    <w:qFormat/>
    <w:rsid w:val="000646F4"/>
  </w:style>
  <w:style w:type="character" w:customStyle="1" w:styleId="BodyText2Char">
    <w:name w:val="Body Text 2 Char"/>
    <w:basedOn w:val="DefaultParagraphFont"/>
    <w:link w:val="BodyText2"/>
    <w:uiPriority w:val="99"/>
    <w:semiHidden/>
    <w:rsid w:val="000646F4"/>
    <w:rPr>
      <w:rFonts w:ascii="Segoe UI" w:hAnsi="Segoe UI"/>
    </w:rPr>
  </w:style>
  <w:style w:type="character" w:styleId="Hyperlink">
    <w:name w:val="Hyperlink"/>
    <w:basedOn w:val="DefaultParagraphFont"/>
    <w:uiPriority w:val="1"/>
    <w:unhideWhenUsed/>
    <w:qFormat/>
    <w:rsid w:val="00D32F2B"/>
    <w:rPr>
      <w:rFonts w:ascii="Segoe UI" w:hAnsi="Segoe UI"/>
      <w:color w:val="009FE3"/>
      <w:sz w:val="20"/>
      <w:u w:val="single"/>
    </w:rPr>
  </w:style>
  <w:style w:type="character" w:customStyle="1" w:styleId="NoSpacingChar">
    <w:name w:val="No Spacing Char"/>
    <w:basedOn w:val="DefaultParagraphFont"/>
    <w:link w:val="NoSpacing"/>
    <w:rsid w:val="000646F4"/>
    <w:rPr>
      <w:rFonts w:ascii="Segoe UI" w:hAnsi="Segoe UI"/>
      <w:szCs w:val="32"/>
    </w:rPr>
  </w:style>
  <w:style w:type="paragraph" w:styleId="TOCHeading">
    <w:name w:val="TOC Heading"/>
    <w:next w:val="Normal"/>
    <w:uiPriority w:val="5"/>
    <w:rsid w:val="000646F4"/>
    <w:pPr>
      <w:keepNext/>
      <w:spacing w:before="200"/>
    </w:pPr>
    <w:rPr>
      <w:rFonts w:ascii="Segoe UI" w:eastAsiaTheme="majorEastAsia" w:hAnsi="Segoe UI"/>
      <w:b/>
      <w:bCs/>
      <w:color w:val="009FE3" w:themeColor="background2"/>
      <w:kern w:val="32"/>
      <w:sz w:val="36"/>
      <w:szCs w:val="32"/>
    </w:rPr>
  </w:style>
  <w:style w:type="paragraph" w:customStyle="1" w:styleId="NumberedList">
    <w:name w:val="Numbered List"/>
    <w:basedOn w:val="List"/>
    <w:link w:val="NumberedListChar"/>
    <w:qFormat/>
    <w:rsid w:val="000221F1"/>
    <w:pPr>
      <w:numPr>
        <w:numId w:val="17"/>
      </w:numPr>
    </w:pPr>
  </w:style>
  <w:style w:type="paragraph" w:customStyle="1" w:styleId="Frontpageheader1">
    <w:name w:val="Front page header 1"/>
    <w:basedOn w:val="Heading1"/>
    <w:link w:val="Frontpageheader1Char"/>
    <w:qFormat/>
    <w:rsid w:val="00207A15"/>
    <w:rPr>
      <w:sz w:val="56"/>
      <w:szCs w:val="56"/>
    </w:rPr>
  </w:style>
  <w:style w:type="character" w:customStyle="1" w:styleId="ListChar">
    <w:name w:val="List Char"/>
    <w:basedOn w:val="DefaultParagraphFont"/>
    <w:link w:val="List"/>
    <w:rsid w:val="000221F1"/>
    <w:rPr>
      <w:rFonts w:ascii="Segoe UI" w:hAnsi="Segoe UI"/>
    </w:rPr>
  </w:style>
  <w:style w:type="character" w:customStyle="1" w:styleId="NumberedListChar">
    <w:name w:val="Numbered List Char"/>
    <w:basedOn w:val="ListChar"/>
    <w:link w:val="NumberedList"/>
    <w:rsid w:val="000221F1"/>
    <w:rPr>
      <w:rFonts w:ascii="Segoe UI" w:hAnsi="Segoe UI"/>
    </w:rPr>
  </w:style>
  <w:style w:type="paragraph" w:customStyle="1" w:styleId="Frontpagedetails">
    <w:name w:val="Front page details"/>
    <w:basedOn w:val="Frontpageheader1"/>
    <w:link w:val="FrontpagedetailsChar"/>
    <w:qFormat/>
    <w:rsid w:val="00CF25DF"/>
    <w:rPr>
      <w:color w:val="797979"/>
      <w:sz w:val="24"/>
      <w:szCs w:val="36"/>
    </w:rPr>
  </w:style>
  <w:style w:type="character" w:customStyle="1" w:styleId="Frontpageheader1Char">
    <w:name w:val="Front page header 1 Char"/>
    <w:basedOn w:val="Heading1Char"/>
    <w:link w:val="Frontpageheader1"/>
    <w:rsid w:val="00207A15"/>
    <w:rPr>
      <w:rFonts w:ascii="Segoe UI Semibold" w:eastAsiaTheme="majorEastAsia" w:hAnsi="Segoe UI Semibold"/>
      <w:bCs/>
      <w:color w:val="0069B4"/>
      <w:kern w:val="32"/>
      <w:sz w:val="56"/>
      <w:szCs w:val="56"/>
    </w:rPr>
  </w:style>
  <w:style w:type="paragraph" w:customStyle="1" w:styleId="Frontpagedate">
    <w:name w:val="Front page date"/>
    <w:basedOn w:val="Frontpagedetails"/>
    <w:link w:val="FrontpagedateChar"/>
    <w:qFormat/>
    <w:rsid w:val="00CF25DF"/>
    <w:rPr>
      <w:sz w:val="16"/>
    </w:rPr>
  </w:style>
  <w:style w:type="character" w:customStyle="1" w:styleId="FrontpagedetailsChar">
    <w:name w:val="Front page details Char"/>
    <w:basedOn w:val="Frontpageheader1Char"/>
    <w:link w:val="Frontpagedetails"/>
    <w:rsid w:val="00CF25DF"/>
    <w:rPr>
      <w:rFonts w:ascii="Segoe UI" w:eastAsiaTheme="majorEastAsia" w:hAnsi="Segoe UI"/>
      <w:bCs/>
      <w:color w:val="797979"/>
      <w:kern w:val="32"/>
      <w:sz w:val="24"/>
      <w:szCs w:val="36"/>
    </w:rPr>
  </w:style>
  <w:style w:type="table" w:customStyle="1" w:styleId="bwTable">
    <w:name w:val="bwTable"/>
    <w:basedOn w:val="TableNormal"/>
    <w:uiPriority w:val="99"/>
    <w:qFormat/>
    <w:rsid w:val="00DD7BEB"/>
    <w:pPr>
      <w:spacing w:after="0" w:line="240" w:lineRule="auto"/>
    </w:pPr>
    <w:rPr>
      <w:lang w:val="en-US" w:bidi="en-US"/>
    </w:rPr>
    <w:tblPr>
      <w:tblStyleRowBandSize w:val="1"/>
      <w:tblStyleColBandSize w:val="1"/>
      <w:tblBorders>
        <w:top w:val="single" w:sz="4" w:space="0" w:color="009FE3" w:themeColor="background2"/>
        <w:left w:val="single" w:sz="4" w:space="0" w:color="009FE3" w:themeColor="background2"/>
        <w:bottom w:val="single" w:sz="4" w:space="0" w:color="009FE3" w:themeColor="background2"/>
        <w:right w:val="single" w:sz="4" w:space="0" w:color="009FE3" w:themeColor="background2"/>
        <w:insideH w:val="single" w:sz="4" w:space="0" w:color="009FE3" w:themeColor="background2"/>
        <w:insideV w:val="single" w:sz="4" w:space="0" w:color="009FE3" w:themeColor="background2"/>
      </w:tblBorders>
      <w:tblCellMar>
        <w:top w:w="108" w:type="dxa"/>
        <w:bottom w:w="108" w:type="dxa"/>
      </w:tblCellMar>
    </w:tblPr>
    <w:tcPr>
      <w:vAlign w:val="center"/>
    </w:tcPr>
    <w:tblStylePr w:type="firstRow">
      <w:rPr>
        <w:b w:val="0"/>
        <w:color w:val="41C0F0" w:themeColor="accent1"/>
      </w:rPr>
      <w:tblPr/>
      <w:tcPr>
        <w:tcBorders>
          <w:top w:val="single" w:sz="4" w:space="0" w:color="41C0F0" w:themeColor="accent1"/>
          <w:left w:val="nil"/>
          <w:bottom w:val="single" w:sz="4" w:space="0" w:color="41C0F0" w:themeColor="accent1"/>
          <w:right w:val="nil"/>
          <w:insideH w:val="nil"/>
          <w:insideV w:val="nil"/>
          <w:tl2br w:val="nil"/>
          <w:tr2bl w:val="nil"/>
        </w:tcBorders>
      </w:tcPr>
    </w:tblStylePr>
    <w:tblStylePr w:type="lastRow">
      <w:tblPr/>
      <w:tcPr>
        <w:tcBorders>
          <w:top w:val="single" w:sz="4" w:space="0" w:color="BFBFBF" w:themeColor="background1" w:themeShade="BF"/>
          <w:left w:val="nil"/>
          <w:bottom w:val="nil"/>
          <w:right w:val="nil"/>
          <w:insideH w:val="nil"/>
          <w:insideV w:val="nil"/>
          <w:tl2br w:val="nil"/>
          <w:tr2bl w:val="nil"/>
        </w:tcBorders>
      </w:tcPr>
    </w:tblStylePr>
    <w:tblStylePr w:type="band1Horz">
      <w:tblPr/>
      <w:tcPr>
        <w:tcBorders>
          <w:top w:val="single" w:sz="4" w:space="0" w:color="BFBFBF" w:themeColor="background1" w:themeShade="BF"/>
          <w:left w:val="nil"/>
          <w:bottom w:val="nil"/>
          <w:right w:val="nil"/>
          <w:insideH w:val="nil"/>
          <w:insideV w:val="nil"/>
          <w:tl2br w:val="nil"/>
          <w:tr2bl w:val="nil"/>
        </w:tcBorders>
      </w:tcPr>
    </w:tblStylePr>
    <w:tblStylePr w:type="band2Horz">
      <w:tblPr/>
      <w:tcPr>
        <w:tcBorders>
          <w:top w:val="single" w:sz="4" w:space="0" w:color="BFBFBF" w:themeColor="background1" w:themeShade="BF"/>
          <w:left w:val="nil"/>
          <w:bottom w:val="nil"/>
          <w:right w:val="nil"/>
          <w:insideH w:val="nil"/>
          <w:insideV w:val="nil"/>
          <w:tl2br w:val="nil"/>
          <w:tr2bl w:val="nil"/>
        </w:tcBorders>
      </w:tcPr>
    </w:tblStylePr>
  </w:style>
  <w:style w:type="character" w:customStyle="1" w:styleId="FrontpagedateChar">
    <w:name w:val="Front page date Char"/>
    <w:basedOn w:val="FrontpagedetailsChar"/>
    <w:link w:val="Frontpagedate"/>
    <w:rsid w:val="00CF25DF"/>
    <w:rPr>
      <w:rFonts w:ascii="Segoe UI" w:eastAsiaTheme="majorEastAsia" w:hAnsi="Segoe UI"/>
      <w:bCs/>
      <w:color w:val="797979"/>
      <w:kern w:val="32"/>
      <w:sz w:val="16"/>
      <w:szCs w:val="36"/>
    </w:rPr>
  </w:style>
  <w:style w:type="paragraph" w:styleId="Header">
    <w:name w:val="header"/>
    <w:basedOn w:val="Normal"/>
    <w:link w:val="HeaderChar"/>
    <w:uiPriority w:val="99"/>
    <w:unhideWhenUsed/>
    <w:rsid w:val="00615554"/>
    <w:pPr>
      <w:tabs>
        <w:tab w:val="center" w:pos="4513"/>
        <w:tab w:val="right" w:pos="9026"/>
      </w:tabs>
    </w:pPr>
    <w:rPr>
      <w:szCs w:val="20"/>
      <w:lang w:val="en-GB" w:bidi="ar-SA"/>
    </w:rPr>
  </w:style>
  <w:style w:type="character" w:customStyle="1" w:styleId="HeaderChar">
    <w:name w:val="Header Char"/>
    <w:basedOn w:val="DefaultParagraphFont"/>
    <w:link w:val="Header"/>
    <w:uiPriority w:val="99"/>
    <w:rsid w:val="00615554"/>
    <w:rPr>
      <w:rFonts w:ascii="Segoe UI" w:hAnsi="Segoe UI"/>
    </w:rPr>
  </w:style>
  <w:style w:type="paragraph" w:styleId="Footer">
    <w:name w:val="footer"/>
    <w:basedOn w:val="Normal"/>
    <w:link w:val="FooterChar"/>
    <w:uiPriority w:val="99"/>
    <w:unhideWhenUsed/>
    <w:rsid w:val="00615554"/>
    <w:pPr>
      <w:tabs>
        <w:tab w:val="center" w:pos="4513"/>
        <w:tab w:val="right" w:pos="9026"/>
      </w:tabs>
    </w:pPr>
    <w:rPr>
      <w:szCs w:val="20"/>
      <w:lang w:val="en-GB" w:bidi="ar-SA"/>
    </w:rPr>
  </w:style>
  <w:style w:type="character" w:customStyle="1" w:styleId="FooterChar">
    <w:name w:val="Footer Char"/>
    <w:basedOn w:val="DefaultParagraphFont"/>
    <w:link w:val="Footer"/>
    <w:uiPriority w:val="99"/>
    <w:rsid w:val="00615554"/>
    <w:rPr>
      <w:rFonts w:ascii="Segoe UI" w:hAnsi="Segoe UI"/>
    </w:rPr>
  </w:style>
  <w:style w:type="character" w:styleId="PlaceholderText">
    <w:name w:val="Placeholder Text"/>
    <w:basedOn w:val="DefaultParagraphFont"/>
    <w:uiPriority w:val="99"/>
    <w:semiHidden/>
    <w:rsid w:val="00615554"/>
    <w:rPr>
      <w:color w:val="808080"/>
    </w:rPr>
  </w:style>
  <w:style w:type="table" w:styleId="TableGrid">
    <w:name w:val="Table Grid"/>
    <w:basedOn w:val="TableNormal"/>
    <w:uiPriority w:val="59"/>
    <w:rsid w:val="00207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20A2"/>
    <w:rPr>
      <w:sz w:val="16"/>
      <w:szCs w:val="16"/>
    </w:rPr>
  </w:style>
  <w:style w:type="paragraph" w:styleId="CommentText">
    <w:name w:val="annotation text"/>
    <w:basedOn w:val="Normal"/>
    <w:link w:val="CommentTextChar"/>
    <w:uiPriority w:val="99"/>
    <w:semiHidden/>
    <w:unhideWhenUsed/>
    <w:rsid w:val="006520A2"/>
    <w:rPr>
      <w:szCs w:val="20"/>
    </w:rPr>
  </w:style>
  <w:style w:type="character" w:customStyle="1" w:styleId="CommentTextChar">
    <w:name w:val="Comment Text Char"/>
    <w:basedOn w:val="DefaultParagraphFont"/>
    <w:link w:val="CommentText"/>
    <w:uiPriority w:val="99"/>
    <w:semiHidden/>
    <w:rsid w:val="006520A2"/>
    <w:rPr>
      <w:rFonts w:ascii="Segoe UI" w:hAnsi="Segoe UI"/>
      <w:lang w:val="en-US" w:bidi="en-US"/>
    </w:rPr>
  </w:style>
  <w:style w:type="paragraph" w:styleId="CommentSubject">
    <w:name w:val="annotation subject"/>
    <w:basedOn w:val="CommentText"/>
    <w:next w:val="CommentText"/>
    <w:link w:val="CommentSubjectChar"/>
    <w:uiPriority w:val="99"/>
    <w:semiHidden/>
    <w:unhideWhenUsed/>
    <w:rsid w:val="006520A2"/>
    <w:rPr>
      <w:b/>
      <w:bCs/>
    </w:rPr>
  </w:style>
  <w:style w:type="character" w:customStyle="1" w:styleId="CommentSubjectChar">
    <w:name w:val="Comment Subject Char"/>
    <w:basedOn w:val="CommentTextChar"/>
    <w:link w:val="CommentSubject"/>
    <w:uiPriority w:val="99"/>
    <w:semiHidden/>
    <w:rsid w:val="006520A2"/>
    <w:rPr>
      <w:rFonts w:ascii="Segoe UI" w:hAnsi="Segoe UI"/>
      <w:b/>
      <w:bCs/>
      <w:lang w:val="en-US" w:bidi="en-US"/>
    </w:rPr>
  </w:style>
  <w:style w:type="paragraph" w:styleId="BalloonText">
    <w:name w:val="Balloon Text"/>
    <w:basedOn w:val="Normal"/>
    <w:link w:val="BalloonTextChar"/>
    <w:uiPriority w:val="99"/>
    <w:semiHidden/>
    <w:unhideWhenUsed/>
    <w:rsid w:val="006520A2"/>
    <w:rPr>
      <w:rFonts w:cs="Segoe UI"/>
      <w:sz w:val="18"/>
      <w:szCs w:val="18"/>
    </w:rPr>
  </w:style>
  <w:style w:type="character" w:customStyle="1" w:styleId="BalloonTextChar">
    <w:name w:val="Balloon Text Char"/>
    <w:basedOn w:val="DefaultParagraphFont"/>
    <w:link w:val="BalloonText"/>
    <w:uiPriority w:val="99"/>
    <w:semiHidden/>
    <w:rsid w:val="006520A2"/>
    <w:rPr>
      <w:rFonts w:ascii="Segoe UI" w:hAnsi="Segoe UI" w:cs="Segoe UI"/>
      <w:sz w:val="18"/>
      <w:szCs w:val="18"/>
      <w:lang w:val="en-US" w:bidi="en-US"/>
    </w:rPr>
  </w:style>
  <w:style w:type="character" w:styleId="UnresolvedMention">
    <w:name w:val="Unresolved Mention"/>
    <w:basedOn w:val="DefaultParagraphFont"/>
    <w:uiPriority w:val="99"/>
    <w:semiHidden/>
    <w:unhideWhenUsed/>
    <w:rsid w:val="00BE71AF"/>
    <w:rPr>
      <w:color w:val="605E5C"/>
      <w:shd w:val="clear" w:color="auto" w:fill="E1DFDD"/>
    </w:rPr>
  </w:style>
  <w:style w:type="paragraph" w:customStyle="1" w:styleId="Pa2">
    <w:name w:val="Pa2"/>
    <w:basedOn w:val="Normal"/>
    <w:next w:val="Normal"/>
    <w:uiPriority w:val="99"/>
    <w:rsid w:val="0075748D"/>
    <w:pPr>
      <w:autoSpaceDE w:val="0"/>
      <w:autoSpaceDN w:val="0"/>
      <w:adjustRightInd w:val="0"/>
      <w:spacing w:line="181" w:lineRule="atLeast"/>
    </w:pPr>
    <w:rPr>
      <w:rFonts w:ascii="Roboto Light" w:hAnsi="Roboto Light"/>
      <w:sz w:val="24"/>
      <w:lang w:val="en-GB" w:bidi="ar-SA"/>
    </w:rPr>
  </w:style>
  <w:style w:type="paragraph" w:styleId="Revision">
    <w:name w:val="Revision"/>
    <w:hidden/>
    <w:uiPriority w:val="99"/>
    <w:semiHidden/>
    <w:rsid w:val="003703AE"/>
    <w:pPr>
      <w:spacing w:after="0" w:line="240" w:lineRule="auto"/>
    </w:pPr>
    <w:rPr>
      <w:rFonts w:ascii="Segoe UI" w:hAnsi="Segoe UI"/>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445386">
      <w:bodyDiv w:val="1"/>
      <w:marLeft w:val="0"/>
      <w:marRight w:val="0"/>
      <w:marTop w:val="0"/>
      <w:marBottom w:val="0"/>
      <w:divBdr>
        <w:top w:val="none" w:sz="0" w:space="0" w:color="auto"/>
        <w:left w:val="none" w:sz="0" w:space="0" w:color="auto"/>
        <w:bottom w:val="none" w:sz="0" w:space="0" w:color="auto"/>
        <w:right w:val="none" w:sz="0" w:space="0" w:color="auto"/>
      </w:divBdr>
    </w:div>
    <w:div w:id="1998534644">
      <w:bodyDiv w:val="1"/>
      <w:marLeft w:val="0"/>
      <w:marRight w:val="0"/>
      <w:marTop w:val="0"/>
      <w:marBottom w:val="0"/>
      <w:divBdr>
        <w:top w:val="none" w:sz="0" w:space="0" w:color="auto"/>
        <w:left w:val="none" w:sz="0" w:space="0" w:color="auto"/>
        <w:bottom w:val="none" w:sz="0" w:space="0" w:color="auto"/>
        <w:right w:val="none" w:sz="0" w:space="0" w:color="auto"/>
      </w:divBdr>
      <w:divsChild>
        <w:div w:id="1556964753">
          <w:marLeft w:val="878"/>
          <w:marRight w:val="0"/>
          <w:marTop w:val="43"/>
          <w:marBottom w:val="0"/>
          <w:divBdr>
            <w:top w:val="none" w:sz="0" w:space="0" w:color="auto"/>
            <w:left w:val="none" w:sz="0" w:space="0" w:color="auto"/>
            <w:bottom w:val="none" w:sz="0" w:space="0" w:color="auto"/>
            <w:right w:val="none" w:sz="0" w:space="0" w:color="auto"/>
          </w:divBdr>
        </w:div>
        <w:div w:id="464855709">
          <w:marLeft w:val="878"/>
          <w:marRight w:val="0"/>
          <w:marTop w:val="43"/>
          <w:marBottom w:val="0"/>
          <w:divBdr>
            <w:top w:val="none" w:sz="0" w:space="0" w:color="auto"/>
            <w:left w:val="none" w:sz="0" w:space="0" w:color="auto"/>
            <w:bottom w:val="none" w:sz="0" w:space="0" w:color="auto"/>
            <w:right w:val="none" w:sz="0" w:space="0" w:color="auto"/>
          </w:divBdr>
        </w:div>
        <w:div w:id="759915395">
          <w:marLeft w:val="878"/>
          <w:marRight w:val="0"/>
          <w:marTop w:val="43"/>
          <w:marBottom w:val="0"/>
          <w:divBdr>
            <w:top w:val="none" w:sz="0" w:space="0" w:color="auto"/>
            <w:left w:val="none" w:sz="0" w:space="0" w:color="auto"/>
            <w:bottom w:val="none" w:sz="0" w:space="0" w:color="auto"/>
            <w:right w:val="none" w:sz="0" w:space="0" w:color="auto"/>
          </w:divBdr>
        </w:div>
        <w:div w:id="3671749">
          <w:marLeft w:val="878"/>
          <w:marRight w:val="0"/>
          <w:marTop w:val="43"/>
          <w:marBottom w:val="0"/>
          <w:divBdr>
            <w:top w:val="none" w:sz="0" w:space="0" w:color="auto"/>
            <w:left w:val="none" w:sz="0" w:space="0" w:color="auto"/>
            <w:bottom w:val="none" w:sz="0" w:space="0" w:color="auto"/>
            <w:right w:val="none" w:sz="0" w:space="0" w:color="auto"/>
          </w:divBdr>
        </w:div>
        <w:div w:id="812606005">
          <w:marLeft w:val="878"/>
          <w:marRight w:val="0"/>
          <w:marTop w:val="43"/>
          <w:marBottom w:val="0"/>
          <w:divBdr>
            <w:top w:val="none" w:sz="0" w:space="0" w:color="auto"/>
            <w:left w:val="none" w:sz="0" w:space="0" w:color="auto"/>
            <w:bottom w:val="none" w:sz="0" w:space="0" w:color="auto"/>
            <w:right w:val="none" w:sz="0" w:space="0" w:color="auto"/>
          </w:divBdr>
        </w:div>
        <w:div w:id="1714965581">
          <w:marLeft w:val="878"/>
          <w:marRight w:val="0"/>
          <w:marTop w:val="43"/>
          <w:marBottom w:val="0"/>
          <w:divBdr>
            <w:top w:val="none" w:sz="0" w:space="0" w:color="auto"/>
            <w:left w:val="none" w:sz="0" w:space="0" w:color="auto"/>
            <w:bottom w:val="none" w:sz="0" w:space="0" w:color="auto"/>
            <w:right w:val="none" w:sz="0" w:space="0" w:color="auto"/>
          </w:divBdr>
        </w:div>
        <w:div w:id="1749887752">
          <w:marLeft w:val="878"/>
          <w:marRight w:val="0"/>
          <w:marTop w:val="4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bw-wan\files\templates\Office%20Templates\bwSmallReport.dotx" TargetMode="External"/></Relationships>
</file>

<file path=word/theme/theme1.xml><?xml version="1.0" encoding="utf-8"?>
<a:theme xmlns:a="http://schemas.openxmlformats.org/drawingml/2006/main" name="Barnett Waddingham">
  <a:themeElements>
    <a:clrScheme name="Barnett Waddingham">
      <a:dk1>
        <a:sysClr val="windowText" lastClr="000000"/>
      </a:dk1>
      <a:lt1>
        <a:sysClr val="window" lastClr="FFFFFF"/>
      </a:lt1>
      <a:dk2>
        <a:srgbClr val="0069B4"/>
      </a:dk2>
      <a:lt2>
        <a:srgbClr val="009FE3"/>
      </a:lt2>
      <a:accent1>
        <a:srgbClr val="41C0F0"/>
      </a:accent1>
      <a:accent2>
        <a:srgbClr val="A1DAF8"/>
      </a:accent2>
      <a:accent3>
        <a:srgbClr val="797979"/>
      </a:accent3>
      <a:accent4>
        <a:srgbClr val="C0C0C0"/>
      </a:accent4>
      <a:accent5>
        <a:srgbClr val="68C0B5"/>
      </a:accent5>
      <a:accent6>
        <a:srgbClr val="F5DE7A"/>
      </a:accent6>
      <a:hlink>
        <a:srgbClr val="1192D1"/>
      </a:hlink>
      <a:folHlink>
        <a:srgbClr val="4B08A1"/>
      </a:folHlink>
    </a:clrScheme>
    <a:fontScheme name="Custom 1">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2022-03-31T00:00:00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97C39E-79B8-4B34-8AFA-4D3606794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bwSmallReport.dotx</Template>
  <TotalTime>86</TotalTime>
  <Pages>7</Pages>
  <Words>2380</Words>
  <Characters>13572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Implementation Statement</vt:lpstr>
    </vt:vector>
  </TitlesOfParts>
  <Company>Barnett Waddingham</Company>
  <LinksUpToDate>false</LinksUpToDate>
  <CharactersWithSpaces>15921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Statement</dc:title>
  <dc:subject/>
  <dc:creator>Eva Grace</dc:creator>
  <cp:keywords/>
  <dc:description/>
  <cp:lastModifiedBy>Ben Lynock</cp:lastModifiedBy>
  <cp:revision>7</cp:revision>
  <dcterms:created xsi:type="dcterms:W3CDTF">2022-08-24T15:48:00Z</dcterms:created>
  <dcterms:modified xsi:type="dcterms:W3CDTF">2022-09-14T13:24:00Z</dcterms:modified>
</cp:coreProperties>
</file>